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000000" w:themeColor="text1"/>
          <w14:textFill>
            <w14:solidFill>
              <w14:schemeClr w14:val="tx1"/>
            </w14:solidFill>
          </w14:textFill>
        </w:rPr>
      </w:pPr>
      <w:bookmarkStart w:id="5" w:name="_GoBack"/>
      <w:bookmarkEnd w:id="5"/>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b/>
          <w:bCs/>
          <w:color w:val="000000" w:themeColor="text1"/>
          <w:sz w:val="72"/>
          <w:szCs w:val="72"/>
          <w14:textFill>
            <w14:solidFill>
              <w14:schemeClr w14:val="tx1"/>
            </w14:solidFill>
          </w14:textFill>
        </w:rPr>
      </w:pPr>
      <w:r>
        <w:rPr>
          <w:rFonts w:hint="eastAsia"/>
          <w:b/>
          <w:bCs/>
          <w:color w:val="000000" w:themeColor="text1"/>
          <w:sz w:val="52"/>
          <w:szCs w:val="52"/>
          <w14:textFill>
            <w14:solidFill>
              <w14:schemeClr w14:val="tx1"/>
            </w14:solidFill>
          </w14:textFill>
        </w:rPr>
        <w:t>南充电子工业学校</w:t>
      </w:r>
    </w:p>
    <w:p>
      <w:pPr>
        <w:jc w:val="center"/>
        <w:rPr>
          <w:b/>
          <w:bCs/>
          <w:color w:val="000000" w:themeColor="text1"/>
          <w:sz w:val="52"/>
          <w:szCs w:val="52"/>
          <w14:textFill>
            <w14:solidFill>
              <w14:schemeClr w14:val="tx1"/>
            </w14:solidFill>
          </w14:textFill>
        </w:rPr>
      </w:pPr>
    </w:p>
    <w:p>
      <w:pPr>
        <w:jc w:val="center"/>
        <w:rPr>
          <w:rFonts w:ascii="仿宋_GB2312" w:hAnsi="仿宋_GB2312" w:eastAsia="仿宋_GB2312" w:cs="仿宋_GB2312"/>
          <w:color w:val="000000" w:themeColor="text1"/>
          <w:sz w:val="52"/>
          <w:szCs w:val="52"/>
          <w14:textFill>
            <w14:solidFill>
              <w14:schemeClr w14:val="tx1"/>
            </w14:solidFill>
          </w14:textFill>
        </w:rPr>
      </w:pPr>
      <w:r>
        <w:rPr>
          <w:rFonts w:hint="eastAsia" w:ascii="仿宋_GB2312" w:hAnsi="仿宋_GB2312" w:eastAsia="仿宋_GB2312" w:cs="仿宋_GB2312"/>
          <w:color w:val="000000" w:themeColor="text1"/>
          <w:sz w:val="52"/>
          <w:szCs w:val="52"/>
          <w14:textFill>
            <w14:solidFill>
              <w14:schemeClr w14:val="tx1"/>
            </w14:solidFill>
          </w14:textFill>
        </w:rPr>
        <w:t>中等职业教育年度质量报告</w:t>
      </w:r>
    </w:p>
    <w:p>
      <w:pPr>
        <w:jc w:val="center"/>
        <w:rPr>
          <w:rFonts w:ascii="新宋体" w:hAnsi="新宋体" w:eastAsia="新宋体" w:cs="新宋体"/>
          <w:color w:val="000000" w:themeColor="text1"/>
          <w:sz w:val="44"/>
          <w:szCs w:val="44"/>
          <w14:textFill>
            <w14:solidFill>
              <w14:schemeClr w14:val="tx1"/>
            </w14:solidFill>
          </w14:textFill>
        </w:rPr>
      </w:pPr>
      <w:r>
        <w:rPr>
          <w:rFonts w:hint="eastAsia" w:ascii="新宋体" w:hAnsi="新宋体" w:eastAsia="新宋体" w:cs="新宋体"/>
          <w:color w:val="000000" w:themeColor="text1"/>
          <w:sz w:val="44"/>
          <w:szCs w:val="44"/>
          <w14:textFill>
            <w14:solidFill>
              <w14:schemeClr w14:val="tx1"/>
            </w14:solidFill>
          </w14:textFill>
        </w:rPr>
        <w:t>（2020年度）</w:t>
      </w:r>
    </w:p>
    <w:p>
      <w:pPr>
        <w:jc w:val="center"/>
        <w:rPr>
          <w:rFonts w:ascii="新宋体" w:hAnsi="新宋体" w:eastAsia="新宋体" w:cs="新宋体"/>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jc w:val="center"/>
        <w:rPr>
          <w:rFonts w:eastAsia="新宋体"/>
          <w:color w:val="000000" w:themeColor="text1"/>
          <w:sz w:val="44"/>
          <w:szCs w:val="44"/>
          <w14:textFill>
            <w14:solidFill>
              <w14:schemeClr w14:val="tx1"/>
            </w14:solidFill>
          </w14:textFill>
        </w:rPr>
      </w:pPr>
      <w:r>
        <w:rPr>
          <w:rFonts w:hint="eastAsia" w:ascii="新宋体" w:hAnsi="新宋体" w:eastAsia="新宋体" w:cs="新宋体"/>
          <w:color w:val="000000" w:themeColor="text1"/>
          <w:sz w:val="44"/>
          <w:szCs w:val="44"/>
          <w14:textFill>
            <w14:solidFill>
              <w14:schemeClr w14:val="tx1"/>
            </w14:solidFill>
          </w14:textFill>
        </w:rPr>
        <w:t>二0二一年一月八日</w:t>
      </w:r>
    </w:p>
    <w:p>
      <w:pPr>
        <w:jc w:val="center"/>
        <w:rPr>
          <w:color w:val="000000" w:themeColor="text1"/>
          <w:sz w:val="44"/>
          <w:szCs w:val="44"/>
          <w14:textFill>
            <w14:solidFill>
              <w14:schemeClr w14:val="tx1"/>
            </w14:solidFill>
          </w14:textFill>
        </w:rPr>
      </w:pPr>
      <w:r>
        <w:rPr>
          <w:rFonts w:hint="eastAsia"/>
          <w:color w:val="000000" w:themeColor="text1"/>
          <w:sz w:val="44"/>
          <w:szCs w:val="44"/>
          <w14:textFill>
            <w14:solidFill>
              <w14:schemeClr w14:val="tx1"/>
            </w14:solidFill>
          </w14:textFill>
        </w:rPr>
        <w:t>目录</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学校情况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1.1学校概况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1.2学生情况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1.3教师队伍</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1.4设施设备</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4</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学生发展</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7</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2.1学生素质</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7</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2.2在校体验</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8</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2.3资助情况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9</w:t>
      </w:r>
    </w:p>
    <w:p>
      <w:pPr>
        <w:rPr>
          <w:rFonts w:ascii="新宋体" w:hAnsi="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2.4就业质量</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10</w:t>
      </w:r>
    </w:p>
    <w:p>
      <w:pPr>
        <w:rPr>
          <w:rFonts w:ascii="新宋体" w:hAnsi="新宋体" w:eastAsia="新宋体" w:cs="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2.5职业发展</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11</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质量保障措施</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12</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3.1</w:t>
      </w:r>
      <w:r>
        <w:rPr>
          <w:rFonts w:hint="eastAsia"/>
          <w:color w:val="000000" w:themeColor="text1"/>
          <w:sz w:val="30"/>
          <w:szCs w:val="30"/>
          <w14:textFill>
            <w14:solidFill>
              <w14:schemeClr w14:val="tx1"/>
            </w14:solidFill>
          </w14:textFill>
        </w:rPr>
        <w:t>专业动态调整</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12</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3.2</w:t>
      </w:r>
      <w:r>
        <w:rPr>
          <w:rFonts w:hint="eastAsia"/>
          <w:color w:val="000000" w:themeColor="text1"/>
          <w:sz w:val="30"/>
          <w:szCs w:val="30"/>
          <w14:textFill>
            <w14:solidFill>
              <w14:schemeClr w14:val="tx1"/>
            </w14:solidFill>
          </w14:textFill>
        </w:rPr>
        <w:t>教育教学改革</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15</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3.3</w:t>
      </w:r>
      <w:r>
        <w:rPr>
          <w:rFonts w:hint="eastAsia"/>
          <w:color w:val="000000" w:themeColor="text1"/>
          <w:sz w:val="30"/>
          <w:szCs w:val="30"/>
          <w14:textFill>
            <w14:solidFill>
              <w14:schemeClr w14:val="tx1"/>
            </w14:solidFill>
          </w14:textFill>
        </w:rPr>
        <w:t>教师培养培训</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18</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3.4</w:t>
      </w:r>
      <w:r>
        <w:rPr>
          <w:rFonts w:hint="eastAsia"/>
          <w:color w:val="000000" w:themeColor="text1"/>
          <w:sz w:val="30"/>
          <w:szCs w:val="30"/>
          <w14:textFill>
            <w14:solidFill>
              <w14:schemeClr w14:val="tx1"/>
            </w14:solidFill>
          </w14:textFill>
        </w:rPr>
        <w:t>规范管理情况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2"/>
          <w:szCs w:val="32"/>
          <w14:textFill>
            <w14:solidFill>
              <w14:schemeClr w14:val="tx1"/>
            </w14:solidFill>
          </w14:textFill>
        </w:rPr>
        <w:t>19</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3.5</w:t>
      </w:r>
      <w:r>
        <w:rPr>
          <w:rFonts w:hint="eastAsia"/>
          <w:color w:val="000000" w:themeColor="text1"/>
          <w:sz w:val="30"/>
          <w:szCs w:val="30"/>
          <w14:textFill>
            <w14:solidFill>
              <w14:schemeClr w14:val="tx1"/>
            </w14:solidFill>
          </w14:textFill>
        </w:rPr>
        <w:t>德育工作情况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22</w:t>
      </w:r>
    </w:p>
    <w:p>
      <w:pPr>
        <w:rPr>
          <w:rFonts w:eastAsia="新宋体"/>
          <w:b/>
          <w:bCs/>
          <w:color w:val="000000" w:themeColor="text1"/>
          <w:sz w:val="32"/>
          <w:szCs w:val="32"/>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3.6</w:t>
      </w:r>
      <w:r>
        <w:rPr>
          <w:rFonts w:hint="eastAsia"/>
          <w:color w:val="000000" w:themeColor="text1"/>
          <w:sz w:val="30"/>
          <w:szCs w:val="30"/>
          <w14:textFill>
            <w14:solidFill>
              <w14:schemeClr w14:val="tx1"/>
            </w14:solidFill>
          </w14:textFill>
        </w:rPr>
        <w:t>党建情况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24</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校企合作</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27</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4.1</w:t>
      </w:r>
      <w:r>
        <w:rPr>
          <w:rFonts w:hint="eastAsia"/>
          <w:color w:val="000000" w:themeColor="text1"/>
          <w:sz w:val="30"/>
          <w:szCs w:val="30"/>
          <w14:textFill>
            <w14:solidFill>
              <w14:schemeClr w14:val="tx1"/>
            </w14:solidFill>
          </w14:textFill>
        </w:rPr>
        <w:t>校企合作开展情况和效果</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27</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4.2</w:t>
      </w:r>
      <w:r>
        <w:rPr>
          <w:rFonts w:hint="eastAsia"/>
          <w:color w:val="000000" w:themeColor="text1"/>
          <w:sz w:val="30"/>
          <w:szCs w:val="30"/>
          <w14:textFill>
            <w14:solidFill>
              <w14:schemeClr w14:val="tx1"/>
            </w14:solidFill>
          </w14:textFill>
        </w:rPr>
        <w:t>学生实习情况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28</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4.3</w:t>
      </w:r>
      <w:r>
        <w:rPr>
          <w:rFonts w:hint="eastAsia"/>
          <w:color w:val="000000" w:themeColor="text1"/>
          <w:sz w:val="30"/>
          <w:szCs w:val="30"/>
          <w14:textFill>
            <w14:solidFill>
              <w14:schemeClr w14:val="tx1"/>
            </w14:solidFill>
          </w14:textFill>
        </w:rPr>
        <w:t>集团化办学情况</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29</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社会贡献</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30</w:t>
      </w:r>
    </w:p>
    <w:p>
      <w:pPr>
        <w:rPr>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5.1</w:t>
      </w:r>
      <w:r>
        <w:rPr>
          <w:rFonts w:hint="eastAsia"/>
          <w:color w:val="000000" w:themeColor="text1"/>
          <w:sz w:val="30"/>
          <w:szCs w:val="30"/>
          <w14:textFill>
            <w14:solidFill>
              <w14:schemeClr w14:val="tx1"/>
            </w14:solidFill>
          </w14:textFill>
        </w:rPr>
        <w:t>技术技能人才培养</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30</w:t>
      </w:r>
    </w:p>
    <w:p>
      <w:pPr>
        <w:rPr>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5.2</w:t>
      </w:r>
      <w:r>
        <w:rPr>
          <w:rFonts w:hint="eastAsia"/>
          <w:color w:val="000000" w:themeColor="text1"/>
          <w:sz w:val="30"/>
          <w:szCs w:val="30"/>
          <w14:textFill>
            <w14:solidFill>
              <w14:schemeClr w14:val="tx1"/>
            </w14:solidFill>
          </w14:textFill>
        </w:rPr>
        <w:t>社会服务</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31</w:t>
      </w:r>
    </w:p>
    <w:p>
      <w:pPr>
        <w:rPr>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5.3</w:t>
      </w:r>
      <w:r>
        <w:rPr>
          <w:rFonts w:hint="eastAsia"/>
          <w:color w:val="000000" w:themeColor="text1"/>
          <w:sz w:val="30"/>
          <w:szCs w:val="30"/>
          <w14:textFill>
            <w14:solidFill>
              <w14:schemeClr w14:val="tx1"/>
            </w14:solidFill>
          </w14:textFill>
        </w:rPr>
        <w:t>对口支援</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31</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举办者履责</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31</w:t>
      </w:r>
    </w:p>
    <w:p>
      <w:pPr>
        <w:rPr>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6.1</w:t>
      </w:r>
      <w:r>
        <w:rPr>
          <w:rFonts w:hint="eastAsia"/>
          <w:color w:val="000000" w:themeColor="text1"/>
          <w:sz w:val="30"/>
          <w:szCs w:val="30"/>
          <w14:textFill>
            <w14:solidFill>
              <w14:schemeClr w14:val="tx1"/>
            </w14:solidFill>
          </w14:textFill>
        </w:rPr>
        <w:t>经费保障</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31</w:t>
      </w:r>
    </w:p>
    <w:p>
      <w:pPr>
        <w:rPr>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6.2</w:t>
      </w:r>
      <w:r>
        <w:rPr>
          <w:rFonts w:hint="eastAsia"/>
          <w:color w:val="000000" w:themeColor="text1"/>
          <w:sz w:val="30"/>
          <w:szCs w:val="30"/>
          <w14:textFill>
            <w14:solidFill>
              <w14:schemeClr w14:val="tx1"/>
            </w14:solidFill>
          </w14:textFill>
        </w:rPr>
        <w:t>政策措施</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31</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特色创新</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32</w:t>
      </w:r>
    </w:p>
    <w:p>
      <w:pPr>
        <w:pStyle w:val="6"/>
        <w:shd w:val="clear" w:color="auto" w:fill="FFFFFF"/>
        <w:spacing w:before="0" w:beforeAutospacing="0" w:after="0" w:afterAutospacing="0"/>
        <w:rPr>
          <w:rFonts w:eastAsia="新宋体"/>
          <w:color w:val="000000" w:themeColor="text1"/>
          <w:sz w:val="30"/>
          <w:szCs w:val="30"/>
          <w14:textFill>
            <w14:solidFill>
              <w14:schemeClr w14:val="tx1"/>
            </w14:solidFill>
          </w14:textFill>
        </w:rPr>
      </w:pPr>
      <w:r>
        <w:rPr>
          <w:rFonts w:hint="eastAsia" w:ascii="仿宋" w:hAnsi="仿宋" w:eastAsia="仿宋" w:cs="仿宋_GB2312"/>
          <w:color w:val="000000" w:themeColor="text1"/>
          <w:kern w:val="2"/>
          <w:sz w:val="30"/>
          <w:szCs w:val="30"/>
          <w14:textFill>
            <w14:solidFill>
              <w14:schemeClr w14:val="tx1"/>
            </w14:solidFill>
          </w14:textFill>
        </w:rPr>
        <w:t>案例一：</w:t>
      </w:r>
      <w:r>
        <w:rPr>
          <w:rFonts w:hint="eastAsia" w:ascii="仿宋" w:hAnsi="仿宋" w:eastAsia="仿宋"/>
          <w:color w:val="000000" w:themeColor="text1"/>
          <w:sz w:val="30"/>
          <w:szCs w:val="30"/>
          <w14:textFill>
            <w14:solidFill>
              <w14:schemeClr w14:val="tx1"/>
            </w14:solidFill>
          </w14:textFill>
        </w:rPr>
        <w:t>探索校企合作、产教融合的办学模式</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34</w:t>
      </w:r>
    </w:p>
    <w:p>
      <w:pPr>
        <w:numPr>
          <w:ilvl w:val="0"/>
          <w:numId w:val="1"/>
        </w:num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主要问题和改进措施</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39</w:t>
      </w:r>
    </w:p>
    <w:p>
      <w:pPr>
        <w:rPr>
          <w:rFonts w:eastAsia="新宋体"/>
          <w:color w:val="000000" w:themeColor="text1"/>
          <w:sz w:val="30"/>
          <w:szCs w:val="30"/>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8.1</w:t>
      </w:r>
      <w:r>
        <w:rPr>
          <w:rFonts w:hint="eastAsia"/>
          <w:color w:val="000000" w:themeColor="text1"/>
          <w:sz w:val="30"/>
          <w:szCs w:val="30"/>
          <w14:textFill>
            <w14:solidFill>
              <w14:schemeClr w14:val="tx1"/>
            </w14:solidFill>
          </w14:textFill>
        </w:rPr>
        <w:t>人才培养中存在的问题</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39</w:t>
      </w:r>
    </w:p>
    <w:p>
      <w:pPr>
        <w:rPr>
          <w:rFonts w:ascii="仿宋" w:hAnsi="仿宋" w:cs="宋体"/>
          <w:b/>
          <w:bCs/>
          <w:color w:val="000000" w:themeColor="text1"/>
          <w:sz w:val="44"/>
          <w:szCs w:val="44"/>
          <w14:textFill>
            <w14:solidFill>
              <w14:schemeClr w14:val="tx1"/>
            </w14:solidFill>
          </w14:textFill>
        </w:rPr>
      </w:pPr>
      <w:r>
        <w:rPr>
          <w:rFonts w:hint="eastAsia" w:ascii="新宋体" w:hAnsi="新宋体" w:eastAsia="新宋体" w:cs="新宋体"/>
          <w:color w:val="000000" w:themeColor="text1"/>
          <w:sz w:val="30"/>
          <w:szCs w:val="30"/>
          <w14:textFill>
            <w14:solidFill>
              <w14:schemeClr w14:val="tx1"/>
            </w14:solidFill>
          </w14:textFill>
        </w:rPr>
        <w:t>8.2</w:t>
      </w:r>
      <w:r>
        <w:rPr>
          <w:rFonts w:hint="eastAsia"/>
          <w:color w:val="000000" w:themeColor="text1"/>
          <w:sz w:val="30"/>
          <w:szCs w:val="30"/>
          <w14:textFill>
            <w14:solidFill>
              <w14:schemeClr w14:val="tx1"/>
            </w14:solidFill>
          </w14:textFill>
        </w:rPr>
        <w:t>改进措施</w:t>
      </w:r>
      <w:r>
        <w:rPr>
          <w:rFonts w:hint="eastAsia"/>
          <w:color w:val="000000" w:themeColor="text1"/>
          <w:sz w:val="32"/>
          <w:szCs w:val="32"/>
          <w14:textFill>
            <w14:solidFill>
              <w14:schemeClr w14:val="tx1"/>
            </w14:solidFill>
          </w14:textFill>
        </w:rPr>
        <w:t>………………………………………………</w:t>
      </w:r>
      <w:r>
        <w:rPr>
          <w:rFonts w:hint="eastAsia" w:ascii="新宋体" w:hAnsi="新宋体" w:eastAsia="新宋体" w:cs="新宋体"/>
          <w:color w:val="000000" w:themeColor="text1"/>
          <w:sz w:val="30"/>
          <w:szCs w:val="30"/>
          <w14:textFill>
            <w14:solidFill>
              <w14:schemeClr w14:val="tx1"/>
            </w14:solidFill>
          </w14:textFill>
        </w:rPr>
        <w:t>40</w:t>
      </w:r>
    </w:p>
    <w:p>
      <w:pPr>
        <w:jc w:val="center"/>
        <w:rPr>
          <w:rFonts w:ascii="仿宋" w:hAnsi="仿宋" w:eastAsia="仿宋" w:cs="宋体"/>
          <w:b/>
          <w:bCs/>
          <w:color w:val="000000" w:themeColor="text1"/>
          <w:sz w:val="44"/>
          <w:szCs w:val="44"/>
          <w14:textFill>
            <w14:solidFill>
              <w14:schemeClr w14:val="tx1"/>
            </w14:solidFill>
          </w14:textFill>
        </w:rPr>
      </w:pPr>
    </w:p>
    <w:p>
      <w:pPr>
        <w:jc w:val="center"/>
        <w:rPr>
          <w:rFonts w:ascii="仿宋" w:hAnsi="仿宋" w:eastAsia="仿宋" w:cs="宋体"/>
          <w:b/>
          <w:bCs/>
          <w:color w:val="000000" w:themeColor="text1"/>
          <w:sz w:val="44"/>
          <w:szCs w:val="44"/>
          <w14:textFill>
            <w14:solidFill>
              <w14:schemeClr w14:val="tx1"/>
            </w14:solidFill>
          </w14:textFill>
        </w:rPr>
      </w:pPr>
    </w:p>
    <w:p>
      <w:pPr>
        <w:jc w:val="center"/>
        <w:rPr>
          <w:rFonts w:ascii="仿宋" w:hAnsi="仿宋" w:eastAsia="仿宋" w:cs="宋体"/>
          <w:b/>
          <w:bCs/>
          <w:color w:val="000000" w:themeColor="text1"/>
          <w:sz w:val="44"/>
          <w:szCs w:val="44"/>
          <w14:textFill>
            <w14:solidFill>
              <w14:schemeClr w14:val="tx1"/>
            </w14:solidFill>
          </w14:textFill>
        </w:rPr>
      </w:pPr>
    </w:p>
    <w:p>
      <w:pPr>
        <w:jc w:val="center"/>
        <w:rPr>
          <w:rFonts w:ascii="仿宋" w:hAnsi="仿宋" w:eastAsia="仿宋" w:cs="宋体"/>
          <w:b/>
          <w:bCs/>
          <w:color w:val="000000" w:themeColor="text1"/>
          <w:sz w:val="44"/>
          <w:szCs w:val="44"/>
          <w14:textFill>
            <w14:solidFill>
              <w14:schemeClr w14:val="tx1"/>
            </w14:solidFill>
          </w14:textFill>
        </w:rPr>
      </w:pPr>
    </w:p>
    <w:p>
      <w:pPr>
        <w:jc w:val="center"/>
        <w:rPr>
          <w:rFonts w:ascii="仿宋" w:hAnsi="仿宋" w:eastAsia="仿宋" w:cs="宋体"/>
          <w:b/>
          <w:bCs/>
          <w:color w:val="000000" w:themeColor="text1"/>
          <w:sz w:val="44"/>
          <w:szCs w:val="4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jc w:val="center"/>
        <w:rPr>
          <w:rFonts w:ascii="仿宋" w:hAnsi="仿宋" w:eastAsia="仿宋" w:cs="宋体"/>
          <w:b/>
          <w:bCs/>
          <w:color w:val="000000" w:themeColor="text1"/>
          <w:sz w:val="44"/>
          <w:szCs w:val="44"/>
          <w:shd w:val="clear" w:color="auto" w:fill="FFFFFF"/>
          <w14:textFill>
            <w14:solidFill>
              <w14:schemeClr w14:val="tx1"/>
            </w14:solidFill>
          </w14:textFill>
        </w:rPr>
      </w:pPr>
      <w:r>
        <w:rPr>
          <w:rFonts w:hint="eastAsia" w:ascii="仿宋" w:hAnsi="仿宋" w:eastAsia="仿宋" w:cs="宋体"/>
          <w:b/>
          <w:bCs/>
          <w:color w:val="000000" w:themeColor="text1"/>
          <w:sz w:val="44"/>
          <w:szCs w:val="44"/>
          <w14:textFill>
            <w14:solidFill>
              <w14:schemeClr w14:val="tx1"/>
            </w14:solidFill>
          </w14:textFill>
        </w:rPr>
        <w:t>南充电子工业</w:t>
      </w:r>
      <w:r>
        <w:rPr>
          <w:rFonts w:hint="eastAsia" w:ascii="仿宋" w:hAnsi="仿宋" w:eastAsia="仿宋" w:cs="宋体"/>
          <w:b/>
          <w:bCs/>
          <w:color w:val="000000" w:themeColor="text1"/>
          <w:sz w:val="44"/>
          <w:szCs w:val="44"/>
          <w:shd w:val="clear" w:color="auto" w:fill="FFFFFF"/>
          <w14:textFill>
            <w14:solidFill>
              <w14:schemeClr w14:val="tx1"/>
            </w14:solidFill>
          </w14:textFill>
        </w:rPr>
        <w:t>学校年度质量报告</w:t>
      </w:r>
    </w:p>
    <w:p>
      <w:pPr>
        <w:pStyle w:val="11"/>
        <w:ind w:firstLine="0" w:firstLineChars="0"/>
        <w:jc w:val="center"/>
        <w:rPr>
          <w:rFonts w:ascii="仿宋" w:hAnsi="仿宋" w:eastAsia="仿宋" w:cs="新宋体"/>
          <w:b/>
          <w:bCs/>
          <w:color w:val="000000" w:themeColor="text1"/>
          <w:sz w:val="32"/>
          <w:szCs w:val="32"/>
          <w:shd w:val="clear" w:color="auto" w:fill="FFFFFF"/>
          <w14:textFill>
            <w14:solidFill>
              <w14:schemeClr w14:val="tx1"/>
            </w14:solidFill>
          </w14:textFill>
        </w:rPr>
      </w:pPr>
      <w:r>
        <w:rPr>
          <w:rFonts w:hint="eastAsia" w:ascii="仿宋" w:hAnsi="仿宋" w:eastAsia="仿宋" w:cs="新宋体"/>
          <w:b/>
          <w:bCs/>
          <w:color w:val="000000" w:themeColor="text1"/>
          <w:sz w:val="32"/>
          <w:szCs w:val="32"/>
          <w:shd w:val="clear" w:color="auto" w:fill="FFFFFF"/>
          <w14:textFill>
            <w14:solidFill>
              <w14:schemeClr w14:val="tx1"/>
            </w14:solidFill>
          </w14:textFill>
        </w:rPr>
        <w:t>（2020年度）</w:t>
      </w:r>
    </w:p>
    <w:p>
      <w:pPr>
        <w:rPr>
          <w:rFonts w:ascii="仿宋" w:hAnsi="仿宋" w:eastAsia="仿宋" w:cs="仿宋_GB2312"/>
          <w:b/>
          <w:bCs/>
          <w:color w:val="000000" w:themeColor="text1"/>
          <w:sz w:val="36"/>
          <w:szCs w:val="36"/>
          <w:shd w:val="clear" w:color="auto" w:fill="FFFFFF"/>
          <w14:textFill>
            <w14:solidFill>
              <w14:schemeClr w14:val="tx1"/>
            </w14:solidFill>
          </w14:textFill>
        </w:rPr>
      </w:pPr>
      <w:r>
        <w:rPr>
          <w:rFonts w:hint="eastAsia" w:ascii="仿宋" w:hAnsi="仿宋" w:eastAsia="仿宋" w:cs="仿宋_GB2312"/>
          <w:b/>
          <w:bCs/>
          <w:color w:val="000000" w:themeColor="text1"/>
          <w:sz w:val="36"/>
          <w:szCs w:val="36"/>
          <w:shd w:val="clear" w:color="auto" w:fill="FFFFFF"/>
          <w14:textFill>
            <w14:solidFill>
              <w14:schemeClr w14:val="tx1"/>
            </w14:solidFill>
          </w14:textFill>
        </w:rPr>
        <w:t>一、学校情况</w:t>
      </w:r>
    </w:p>
    <w:p>
      <w:pPr>
        <w:ind w:firstLine="643" w:firstLineChars="200"/>
        <w:rPr>
          <w:rFonts w:ascii="仿宋" w:hAnsi="仿宋" w:eastAsia="仿宋" w:cs="仿宋_GB2312"/>
          <w:b/>
          <w:color w:val="000000" w:themeColor="text1"/>
          <w:sz w:val="32"/>
          <w:szCs w:val="32"/>
          <w:shd w:val="clear" w:color="auto" w:fill="FFFFFF"/>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1.1学校概况</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南充电子工业学校成立于1998年，</w:t>
      </w:r>
      <w:r>
        <w:rPr>
          <w:rFonts w:hint="eastAsia" w:ascii="仿宋" w:hAnsi="仿宋" w:eastAsia="仿宋" w:cs="仿宋"/>
          <w:color w:val="000000" w:themeColor="text1"/>
          <w:sz w:val="32"/>
          <w:szCs w:val="32"/>
          <w14:textFill>
            <w14:solidFill>
              <w14:schemeClr w14:val="tx1"/>
            </w14:solidFill>
          </w14:textFill>
        </w:rPr>
        <w:t>是经南充市教育局批准，南充市民政局登记成立的一所具备法人资格的民办中等职业学校</w:t>
      </w:r>
      <w:r>
        <w:rPr>
          <w:rFonts w:hint="eastAsia" w:ascii="仿宋" w:hAnsi="仿宋" w:eastAsia="仿宋" w:cs="仿宋_GB2312"/>
          <w:color w:val="000000" w:themeColor="text1"/>
          <w:sz w:val="32"/>
          <w:szCs w:val="32"/>
          <w14:textFill>
            <w14:solidFill>
              <w14:schemeClr w14:val="tx1"/>
            </w14:solidFill>
          </w14:textFill>
        </w:rPr>
        <w:t>，学校位于南充市高坪区东顺路三段109号，学校是南充大成职业教育集团核心成员学校。</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实行集团董事会领导下的校长负责制。学校设校长1人，党支部书记1人，副校长2人；校长为研究生学历、副教授，从事教学及教学管理工作30余年；副校长均为本科学历，具有高级职称2人，中级职称1人，均有从事十年以上教育教学工作的经历，有较高思想政治素质和较强管理能力、熟悉职业教育发展规律。</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现开设有电子技术应用、计算机应用、汽车运用与维修、工程造价、铁道运输管理、会计电算化、电子商务等10余个专业，有教学班101个，中职在校学生5000余人。学校设置的专业符合当地社会经济建设需要，有明确的教学计划、教学大纲等教学文件，以及相适应的课程标准和教材。</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学校占地面积73260平方米，生均用地面积13.6平方米。校舍建筑面积68532平方米，生均校舍建筑面积13平方米。</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有300米的环形跑道田径场，标准篮球场4个，足球场1个、室内体育馆1个，有满足教学和体育活动需要的其他设施和场地，学校卫生保健、校园安全机构健全，教学、生活设施设备符合《学校卫生工作条例》的基本要求，校园安全有保障。</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创办20年来，多次获得省、市、区的表彰奖励；学校有工业和信息产业部与人力资源和社会保障部认定的国家职业技能鉴定站各一个、被授予“四川省劳务开发培训基地”、“南充市重点中等职业学校”、“南充市高技能人才培训基地”。</w:t>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shd w:val="clear" w:color="auto" w:fill="FFFFFF"/>
          <w14:textFill>
            <w14:solidFill>
              <w14:schemeClr w14:val="tx1"/>
            </w14:solidFill>
          </w14:textFill>
        </w:rPr>
        <w:t>1.2学生情况</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2020年，在校生5174人，招收新生2873人，学校毕业生822人。与上一年度变化情况如图所示：学生规模对照图（图1），学生情况与上年度相比变化（图2）</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图1:</w:t>
      </w:r>
    </w:p>
    <w:p>
      <w:pPr>
        <w:pStyle w:val="6"/>
        <w:spacing w:before="0" w:beforeAutospacing="0" w:after="0" w:afterAutospacing="0"/>
        <w:rPr>
          <w:rFonts w:ascii="仿宋" w:hAnsi="仿宋" w:eastAsia="仿宋" w:cstheme="minorBidi"/>
          <w:color w:val="000000" w:themeColor="text1"/>
          <w:kern w:val="2"/>
          <w:sz w:val="32"/>
          <w:szCs w:val="32"/>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5028565" cy="2595880"/>
            <wp:effectExtent l="0" t="0" r="635" b="1397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5028565" cy="2595880"/>
                    </a:xfrm>
                    <a:prstGeom prst="rect">
                      <a:avLst/>
                    </a:prstGeom>
                    <a:noFill/>
                    <a:ln w="9525">
                      <a:noFill/>
                    </a:ln>
                  </pic:spPr>
                </pic:pic>
              </a:graphicData>
            </a:graphic>
          </wp:inline>
        </w:drawing>
      </w:r>
    </w:p>
    <w:p>
      <w:pPr>
        <w:widowControl/>
        <w:jc w:val="left"/>
        <w:rPr>
          <w:rFonts w:ascii="仿宋" w:hAnsi="仿宋" w:eastAsia="仿宋"/>
          <w:color w:val="000000" w:themeColor="text1"/>
          <w14:textFill>
            <w14:solidFill>
              <w14:schemeClr w14:val="tx1"/>
            </w14:solidFill>
          </w14:textFill>
        </w:rPr>
      </w:pP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图2:</w:t>
      </w:r>
    </w:p>
    <w:p>
      <w:pPr>
        <w:widowControl/>
        <w:rPr>
          <w:rFonts w:ascii="仿宋" w:hAnsi="仿宋" w:eastAsia="仿宋"/>
          <w:color w:val="000000" w:themeColor="text1"/>
          <w:sz w:val="32"/>
          <w:szCs w:val="32"/>
          <w14:textFill>
            <w14:solidFill>
              <w14:schemeClr w14:val="tx1"/>
            </w14:solidFill>
          </w14:textFill>
        </w:rPr>
      </w:pPr>
      <w:r>
        <w:rPr>
          <w:color w:val="000000" w:themeColor="text1"/>
          <w14:textFill>
            <w14:solidFill>
              <w14:schemeClr w14:val="tx1"/>
            </w14:solidFill>
          </w14:textFill>
        </w:rPr>
        <w:drawing>
          <wp:inline distT="0" distB="0" distL="114300" distR="114300">
            <wp:extent cx="5181600" cy="2476500"/>
            <wp:effectExtent l="4445" t="4445" r="14605" b="14605"/>
            <wp:docPr id="1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shd w:val="clear" w:color="auto" w:fill="FFFFFF"/>
          <w14:textFill>
            <w14:solidFill>
              <w14:schemeClr w14:val="tx1"/>
            </w14:solidFill>
          </w14:textFill>
        </w:rPr>
        <w:t>1.3教师队伍</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为努力建设一支业务精湛、素质优良、专兼结合的教师队伍，我校采取</w:t>
      </w:r>
      <w:r>
        <w:rPr>
          <w:rFonts w:ascii="仿宋" w:hAnsi="仿宋" w:eastAsia="仿宋" w:cstheme="minorBidi"/>
          <w:color w:val="000000" w:themeColor="text1"/>
          <w:kern w:val="2"/>
          <w:sz w:val="32"/>
          <w:szCs w:val="32"/>
          <w14:textFill>
            <w14:solidFill>
              <w14:schemeClr w14:val="tx1"/>
            </w14:solidFill>
          </w14:textFill>
        </w:rPr>
        <w:t>教师专项</w:t>
      </w:r>
      <w:r>
        <w:rPr>
          <w:rFonts w:hint="eastAsia" w:ascii="仿宋" w:hAnsi="仿宋" w:eastAsia="仿宋" w:cstheme="minorBidi"/>
          <w:color w:val="000000" w:themeColor="text1"/>
          <w:kern w:val="2"/>
          <w:sz w:val="32"/>
          <w:szCs w:val="32"/>
          <w14:textFill>
            <w14:solidFill>
              <w14:schemeClr w14:val="tx1"/>
            </w14:solidFill>
          </w14:textFill>
        </w:rPr>
        <w:t>培训、专业教师轮训等方式，对在职教师实施“双师型”培训，并通过企业、社会、院校等引进专、兼职专业技术教师，从而提升了我校教师的业务水平。2020年，我校有专任教师</w:t>
      </w:r>
      <w:r>
        <w:rPr>
          <w:rFonts w:hint="eastAsia" w:ascii="仿宋" w:hAnsi="仿宋" w:eastAsia="仿宋" w:cstheme="minorBidi"/>
          <w:color w:val="000000" w:themeColor="text1"/>
          <w:kern w:val="2"/>
          <w:sz w:val="32"/>
          <w:szCs w:val="32"/>
          <w:lang w:val="en-US" w:eastAsia="zh-CN"/>
          <w14:textFill>
            <w14:solidFill>
              <w14:schemeClr w14:val="tx1"/>
            </w14:solidFill>
          </w14:textFill>
        </w:rPr>
        <w:t>171</w:t>
      </w:r>
      <w:r>
        <w:rPr>
          <w:rFonts w:hint="eastAsia" w:ascii="仿宋" w:hAnsi="仿宋" w:eastAsia="仿宋" w:cstheme="minorBidi"/>
          <w:color w:val="000000" w:themeColor="text1"/>
          <w:kern w:val="2"/>
          <w:sz w:val="32"/>
          <w:szCs w:val="32"/>
          <w14:textFill>
            <w14:solidFill>
              <w14:schemeClr w14:val="tx1"/>
            </w14:solidFill>
          </w14:textFill>
        </w:rPr>
        <w:t>人，兼职教师</w:t>
      </w:r>
      <w:r>
        <w:rPr>
          <w:rFonts w:hint="eastAsia" w:ascii="仿宋" w:hAnsi="仿宋" w:eastAsia="仿宋" w:cstheme="minorBidi"/>
          <w:color w:val="000000" w:themeColor="text1"/>
          <w:kern w:val="2"/>
          <w:sz w:val="32"/>
          <w:szCs w:val="32"/>
          <w:lang w:val="en-US" w:eastAsia="zh-CN"/>
          <w14:textFill>
            <w14:solidFill>
              <w14:schemeClr w14:val="tx1"/>
            </w14:solidFill>
          </w14:textFill>
        </w:rPr>
        <w:t>32</w:t>
      </w:r>
      <w:r>
        <w:rPr>
          <w:rFonts w:hint="eastAsia" w:ascii="仿宋" w:hAnsi="仿宋" w:eastAsia="仿宋" w:cstheme="minorBidi"/>
          <w:color w:val="000000" w:themeColor="text1"/>
          <w:kern w:val="2"/>
          <w:sz w:val="32"/>
          <w:szCs w:val="32"/>
          <w14:textFill>
            <w14:solidFill>
              <w14:schemeClr w14:val="tx1"/>
            </w14:solidFill>
          </w14:textFill>
        </w:rPr>
        <w:t>人，外聘</w:t>
      </w:r>
      <w:r>
        <w:rPr>
          <w:rFonts w:hint="eastAsia" w:ascii="仿宋" w:hAnsi="仿宋" w:eastAsia="仿宋" w:cstheme="minorBidi"/>
          <w:color w:val="000000" w:themeColor="text1"/>
          <w:kern w:val="2"/>
          <w:sz w:val="32"/>
          <w:szCs w:val="32"/>
          <w:lang w:eastAsia="zh-CN"/>
          <w14:textFill>
            <w14:solidFill>
              <w14:schemeClr w14:val="tx1"/>
            </w14:solidFill>
          </w14:textFill>
        </w:rPr>
        <w:t>教</w:t>
      </w:r>
      <w:r>
        <w:rPr>
          <w:rFonts w:hint="eastAsia" w:ascii="仿宋" w:hAnsi="仿宋" w:eastAsia="仿宋" w:cstheme="minorBidi"/>
          <w:color w:val="000000" w:themeColor="text1"/>
          <w:kern w:val="2"/>
          <w:sz w:val="32"/>
          <w:szCs w:val="32"/>
          <w14:textFill>
            <w14:solidFill>
              <w14:schemeClr w14:val="tx1"/>
            </w14:solidFill>
          </w14:textFill>
        </w:rPr>
        <w:t>师7人，</w:t>
      </w:r>
      <w:r>
        <w:rPr>
          <w:rFonts w:hint="eastAsia" w:ascii="仿宋" w:hAnsi="仿宋" w:eastAsia="仿宋" w:cstheme="minorBidi"/>
          <w:color w:val="auto"/>
          <w:kern w:val="2"/>
          <w:sz w:val="32"/>
          <w:szCs w:val="32"/>
        </w:rPr>
        <w:t>生师比为</w:t>
      </w:r>
      <w:r>
        <w:rPr>
          <w:rFonts w:hint="eastAsia" w:ascii="仿宋" w:hAnsi="仿宋" w:eastAsia="仿宋" w:cstheme="minorBidi"/>
          <w:color w:val="auto"/>
          <w:kern w:val="2"/>
          <w:sz w:val="32"/>
          <w:szCs w:val="32"/>
          <w:lang w:val="en-US" w:eastAsia="zh-CN"/>
        </w:rPr>
        <w:t>30</w:t>
      </w:r>
      <w:r>
        <w:rPr>
          <w:rFonts w:hint="eastAsia" w:ascii="仿宋" w:hAnsi="仿宋" w:eastAsia="仿宋" w:cstheme="minorBidi"/>
          <w:color w:val="auto"/>
          <w:kern w:val="2"/>
          <w:sz w:val="32"/>
          <w:szCs w:val="32"/>
        </w:rPr>
        <w:t>:1；高</w:t>
      </w:r>
      <w:r>
        <w:rPr>
          <w:rFonts w:hint="eastAsia" w:ascii="仿宋" w:hAnsi="仿宋" w:eastAsia="仿宋" w:cstheme="minorBidi"/>
          <w:color w:val="000000" w:themeColor="text1"/>
          <w:kern w:val="2"/>
          <w:sz w:val="32"/>
          <w:szCs w:val="32"/>
          <w14:textFill>
            <w14:solidFill>
              <w14:schemeClr w14:val="tx1"/>
            </w14:solidFill>
          </w14:textFill>
        </w:rPr>
        <w:t>级职称9人，中级职称14人，初级职称</w:t>
      </w:r>
      <w:r>
        <w:rPr>
          <w:rFonts w:hint="eastAsia" w:ascii="仿宋" w:hAnsi="仿宋" w:eastAsia="仿宋" w:cstheme="minorBidi"/>
          <w:color w:val="000000" w:themeColor="text1"/>
          <w:kern w:val="2"/>
          <w:sz w:val="32"/>
          <w:szCs w:val="32"/>
          <w:lang w:val="en-US" w:eastAsia="zh-CN"/>
          <w14:textFill>
            <w14:solidFill>
              <w14:schemeClr w14:val="tx1"/>
            </w14:solidFill>
          </w14:textFill>
        </w:rPr>
        <w:t>30</w:t>
      </w:r>
      <w:r>
        <w:rPr>
          <w:rFonts w:hint="eastAsia" w:ascii="仿宋" w:hAnsi="仿宋" w:eastAsia="仿宋" w:cstheme="minorBidi"/>
          <w:color w:val="000000" w:themeColor="text1"/>
          <w:kern w:val="2"/>
          <w:sz w:val="32"/>
          <w:szCs w:val="32"/>
          <w14:textFill>
            <w14:solidFill>
              <w14:schemeClr w14:val="tx1"/>
            </w14:solidFill>
          </w14:textFill>
        </w:rPr>
        <w:t>人，本科学历</w:t>
      </w:r>
      <w:r>
        <w:rPr>
          <w:rFonts w:hint="eastAsia" w:ascii="仿宋" w:hAnsi="仿宋" w:eastAsia="仿宋" w:cstheme="minorBidi"/>
          <w:color w:val="000000" w:themeColor="text1"/>
          <w:kern w:val="2"/>
          <w:sz w:val="32"/>
          <w:szCs w:val="32"/>
          <w:lang w:val="en-US" w:eastAsia="zh-CN"/>
          <w14:textFill>
            <w14:solidFill>
              <w14:schemeClr w14:val="tx1"/>
            </w14:solidFill>
          </w14:textFill>
        </w:rPr>
        <w:t>74</w:t>
      </w:r>
      <w:r>
        <w:rPr>
          <w:rFonts w:hint="eastAsia" w:ascii="仿宋" w:hAnsi="仿宋" w:eastAsia="仿宋" w:cstheme="minorBidi"/>
          <w:color w:val="000000" w:themeColor="text1"/>
          <w:kern w:val="2"/>
          <w:sz w:val="32"/>
          <w:szCs w:val="32"/>
          <w14:textFill>
            <w14:solidFill>
              <w14:schemeClr w14:val="tx1"/>
            </w14:solidFill>
          </w14:textFill>
        </w:rPr>
        <w:t>人，专科学历</w:t>
      </w:r>
      <w:r>
        <w:rPr>
          <w:rFonts w:hint="eastAsia" w:ascii="仿宋" w:hAnsi="仿宋" w:eastAsia="仿宋" w:cstheme="minorBidi"/>
          <w:color w:val="000000" w:themeColor="text1"/>
          <w:kern w:val="2"/>
          <w:sz w:val="32"/>
          <w:szCs w:val="32"/>
          <w:lang w:val="en-US" w:eastAsia="zh-CN"/>
          <w14:textFill>
            <w14:solidFill>
              <w14:schemeClr w14:val="tx1"/>
            </w14:solidFill>
          </w14:textFill>
        </w:rPr>
        <w:t>62</w:t>
      </w:r>
      <w:r>
        <w:rPr>
          <w:rFonts w:hint="eastAsia" w:ascii="仿宋" w:hAnsi="仿宋" w:eastAsia="仿宋" w:cstheme="minorBidi"/>
          <w:color w:val="000000" w:themeColor="text1"/>
          <w:kern w:val="2"/>
          <w:sz w:val="32"/>
          <w:szCs w:val="32"/>
          <w14:textFill>
            <w14:solidFill>
              <w14:schemeClr w14:val="tx1"/>
            </w14:solidFill>
          </w14:textFill>
        </w:rPr>
        <w:t>人；50周岁以上的教师1</w:t>
      </w:r>
      <w:r>
        <w:rPr>
          <w:rFonts w:hint="eastAsia" w:ascii="仿宋" w:hAnsi="仿宋" w:eastAsia="仿宋" w:cstheme="minorBidi"/>
          <w:color w:val="000000" w:themeColor="text1"/>
          <w:kern w:val="2"/>
          <w:sz w:val="32"/>
          <w:szCs w:val="32"/>
          <w:lang w:val="en-US" w:eastAsia="zh-CN"/>
          <w14:textFill>
            <w14:solidFill>
              <w14:schemeClr w14:val="tx1"/>
            </w14:solidFill>
          </w14:textFill>
        </w:rPr>
        <w:t>6</w:t>
      </w:r>
      <w:r>
        <w:rPr>
          <w:rFonts w:hint="eastAsia" w:ascii="仿宋" w:hAnsi="仿宋" w:eastAsia="仿宋" w:cstheme="minorBidi"/>
          <w:color w:val="000000" w:themeColor="text1"/>
          <w:kern w:val="2"/>
          <w:sz w:val="32"/>
          <w:szCs w:val="32"/>
          <w14:textFill>
            <w14:solidFill>
              <w14:schemeClr w14:val="tx1"/>
            </w14:solidFill>
          </w14:textFill>
        </w:rPr>
        <w:t>人，35-50岁的教师</w:t>
      </w:r>
      <w:r>
        <w:rPr>
          <w:rFonts w:hint="eastAsia" w:ascii="仿宋" w:hAnsi="仿宋" w:eastAsia="仿宋" w:cstheme="minorBidi"/>
          <w:color w:val="000000" w:themeColor="text1"/>
          <w:kern w:val="2"/>
          <w:sz w:val="32"/>
          <w:szCs w:val="32"/>
          <w:lang w:val="en-US" w:eastAsia="zh-CN"/>
          <w14:textFill>
            <w14:solidFill>
              <w14:schemeClr w14:val="tx1"/>
            </w14:solidFill>
          </w14:textFill>
        </w:rPr>
        <w:t>45</w:t>
      </w:r>
      <w:r>
        <w:rPr>
          <w:rFonts w:hint="eastAsia" w:ascii="仿宋" w:hAnsi="仿宋" w:eastAsia="仿宋" w:cstheme="minorBidi"/>
          <w:color w:val="000000" w:themeColor="text1"/>
          <w:kern w:val="2"/>
          <w:sz w:val="32"/>
          <w:szCs w:val="32"/>
          <w14:textFill>
            <w14:solidFill>
              <w14:schemeClr w14:val="tx1"/>
            </w14:solidFill>
          </w14:textFill>
        </w:rPr>
        <w:t>人，35岁以下的专业教师</w:t>
      </w:r>
      <w:r>
        <w:rPr>
          <w:rFonts w:hint="eastAsia" w:ascii="仿宋" w:hAnsi="仿宋" w:eastAsia="仿宋" w:cstheme="minorBidi"/>
          <w:color w:val="000000" w:themeColor="text1"/>
          <w:kern w:val="2"/>
          <w:sz w:val="32"/>
          <w:szCs w:val="32"/>
          <w:lang w:val="en-US" w:eastAsia="zh-CN"/>
          <w14:textFill>
            <w14:solidFill>
              <w14:schemeClr w14:val="tx1"/>
            </w14:solidFill>
          </w14:textFill>
        </w:rPr>
        <w:t>110</w:t>
      </w:r>
      <w:r>
        <w:rPr>
          <w:rFonts w:hint="eastAsia" w:ascii="仿宋" w:hAnsi="仿宋" w:eastAsia="仿宋" w:cstheme="minorBidi"/>
          <w:color w:val="000000" w:themeColor="text1"/>
          <w:kern w:val="2"/>
          <w:sz w:val="32"/>
          <w:szCs w:val="32"/>
          <w14:textFill>
            <w14:solidFill>
              <w14:schemeClr w14:val="tx1"/>
            </w14:solidFill>
          </w14:textFill>
        </w:rPr>
        <w:t>人；双师型教师12人，具有省级名师工作室成员4人，具有省信息二类教学指导委员会成员1人。师资情况与上年度相比变化如图所示（表一）：</w:t>
      </w:r>
      <w:r>
        <w:rPr>
          <w:rFonts w:ascii="仿宋" w:hAnsi="仿宋" w:eastAsia="仿宋" w:cstheme="minorBidi"/>
          <w:color w:val="000000" w:themeColor="text1"/>
          <w:kern w:val="2"/>
          <w:sz w:val="32"/>
          <w:szCs w:val="32"/>
          <w14:textFill>
            <w14:solidFill>
              <w14:schemeClr w14:val="tx1"/>
            </w14:solidFill>
          </w14:textFill>
        </w:rPr>
        <w:t xml:space="preserve"> </w:t>
      </w:r>
    </w:p>
    <w:p>
      <w:pPr>
        <w:pStyle w:val="6"/>
        <w:spacing w:before="0" w:beforeAutospacing="0" w:after="0" w:afterAutospacing="0"/>
        <w:ind w:firstLine="1928" w:firstLineChars="600"/>
        <w:rPr>
          <w:rFonts w:ascii="仿宋" w:hAnsi="仿宋" w:eastAsia="仿宋"/>
          <w:b/>
          <w:color w:val="000000" w:themeColor="text1"/>
          <w:sz w:val="32"/>
          <w:szCs w:val="32"/>
          <w14:textFill>
            <w14:solidFill>
              <w14:schemeClr w14:val="tx1"/>
            </w14:solidFill>
          </w14:textFill>
        </w:rPr>
      </w:pPr>
    </w:p>
    <w:p>
      <w:pPr>
        <w:pStyle w:val="6"/>
        <w:spacing w:before="0" w:beforeAutospacing="0" w:after="0" w:afterAutospacing="0"/>
        <w:ind w:firstLine="1928" w:firstLineChars="600"/>
        <w:rPr>
          <w:rFonts w:ascii="仿宋" w:hAnsi="仿宋" w:eastAsia="仿宋"/>
          <w:b/>
          <w:color w:val="000000" w:themeColor="text1"/>
          <w:sz w:val="32"/>
          <w:szCs w:val="32"/>
          <w14:textFill>
            <w14:solidFill>
              <w14:schemeClr w14:val="tx1"/>
            </w14:solidFill>
          </w14:textFill>
        </w:rPr>
      </w:pPr>
    </w:p>
    <w:p>
      <w:pPr>
        <w:pStyle w:val="6"/>
        <w:spacing w:before="0" w:beforeAutospacing="0" w:after="0" w:afterAutospacing="0"/>
        <w:ind w:firstLine="1928" w:firstLineChars="6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师资情况与上年度相比变化</w:t>
      </w:r>
    </w:p>
    <w:tbl>
      <w:tblPr>
        <w:tblStyle w:val="7"/>
        <w:tblpPr w:leftFromText="180" w:rightFromText="180" w:vertAnchor="text" w:horzAnchor="page" w:tblpX="1845" w:tblpY="321"/>
        <w:tblOverlap w:val="never"/>
        <w:tblW w:w="8420" w:type="dxa"/>
        <w:tblInd w:w="0" w:type="dxa"/>
        <w:tblLayout w:type="fixed"/>
        <w:tblCellMar>
          <w:top w:w="0" w:type="dxa"/>
          <w:left w:w="108" w:type="dxa"/>
          <w:bottom w:w="0" w:type="dxa"/>
          <w:right w:w="108" w:type="dxa"/>
        </w:tblCellMar>
      </w:tblPr>
      <w:tblGrid>
        <w:gridCol w:w="2163"/>
        <w:gridCol w:w="1200"/>
        <w:gridCol w:w="1200"/>
        <w:gridCol w:w="1215"/>
        <w:gridCol w:w="1215"/>
        <w:gridCol w:w="1427"/>
      </w:tblGrid>
      <w:tr>
        <w:tblPrEx>
          <w:tblCellMar>
            <w:top w:w="0" w:type="dxa"/>
            <w:left w:w="108" w:type="dxa"/>
            <w:bottom w:w="0" w:type="dxa"/>
            <w:right w:w="108" w:type="dxa"/>
          </w:tblCellMar>
        </w:tblPrEx>
        <w:trPr>
          <w:trHeight w:val="795" w:hRule="atLeast"/>
        </w:trPr>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项目</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2018年</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2019年</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2020年</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增长数</w:t>
            </w:r>
          </w:p>
        </w:tc>
        <w:tc>
          <w:tcPr>
            <w:tcW w:w="1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增长率</w:t>
            </w:r>
          </w:p>
        </w:tc>
      </w:tr>
      <w:tr>
        <w:tblPrEx>
          <w:tblCellMar>
            <w:top w:w="0" w:type="dxa"/>
            <w:left w:w="108" w:type="dxa"/>
            <w:bottom w:w="0" w:type="dxa"/>
            <w:right w:w="108" w:type="dxa"/>
          </w:tblCellMar>
        </w:tblPrEx>
        <w:trPr>
          <w:trHeight w:val="570" w:hRule="atLeast"/>
        </w:trPr>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专任教师人数</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48</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72</w:t>
            </w:r>
          </w:p>
        </w:tc>
        <w:tc>
          <w:tcPr>
            <w:tcW w:w="12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auto"/>
                <w:kern w:val="0"/>
                <w:sz w:val="28"/>
                <w:szCs w:val="28"/>
                <w:lang w:val="en-US" w:eastAsia="zh-CN"/>
              </w:rPr>
            </w:pPr>
            <w:r>
              <w:rPr>
                <w:rFonts w:hint="eastAsia" w:ascii="仿宋" w:hAnsi="仿宋" w:eastAsia="仿宋" w:cs="宋体"/>
                <w:color w:val="auto"/>
                <w:kern w:val="0"/>
                <w:sz w:val="28"/>
                <w:szCs w:val="28"/>
                <w:lang w:val="en-US" w:eastAsia="zh-CN"/>
              </w:rPr>
              <w:t>171</w:t>
            </w:r>
          </w:p>
        </w:tc>
        <w:tc>
          <w:tcPr>
            <w:tcW w:w="12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99</w:t>
            </w:r>
          </w:p>
        </w:tc>
        <w:tc>
          <w:tcPr>
            <w:tcW w:w="14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1.375</w:t>
            </w:r>
            <w:r>
              <w:rPr>
                <w:rFonts w:hint="eastAsia" w:ascii="仿宋" w:hAnsi="仿宋" w:eastAsia="仿宋" w:cs="宋体"/>
                <w:color w:val="000000" w:themeColor="text1"/>
                <w:kern w:val="0"/>
                <w:sz w:val="28"/>
                <w:szCs w:val="28"/>
                <w14:textFill>
                  <w14:solidFill>
                    <w14:schemeClr w14:val="tx1"/>
                  </w14:solidFill>
                </w14:textFill>
              </w:rPr>
              <w:t>%</w:t>
            </w:r>
          </w:p>
        </w:tc>
      </w:tr>
      <w:tr>
        <w:tblPrEx>
          <w:tblCellMar>
            <w:top w:w="0" w:type="dxa"/>
            <w:left w:w="108" w:type="dxa"/>
            <w:bottom w:w="0" w:type="dxa"/>
            <w:right w:w="108" w:type="dxa"/>
          </w:tblCellMar>
        </w:tblPrEx>
        <w:trPr>
          <w:trHeight w:val="579"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生师比</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27.1：1</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34.88:1</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lang w:val="en-US" w:eastAsia="zh-CN"/>
              </w:rPr>
              <w:t>30.46</w:t>
            </w:r>
            <w:r>
              <w:rPr>
                <w:rFonts w:hint="eastAsia" w:ascii="仿宋" w:hAnsi="仿宋" w:eastAsia="仿宋" w:cs="宋体"/>
                <w:color w:val="auto"/>
                <w:kern w:val="0"/>
                <w:sz w:val="28"/>
                <w:szCs w:val="28"/>
              </w:rPr>
              <w:t>:1</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4.42</w:t>
            </w:r>
            <w:r>
              <w:rPr>
                <w:rFonts w:hint="eastAsia" w:ascii="仿宋" w:hAnsi="仿宋" w:eastAsia="仿宋" w:cs="宋体"/>
                <w:color w:val="000000" w:themeColor="text1"/>
                <w:kern w:val="0"/>
                <w:sz w:val="28"/>
                <w:szCs w:val="28"/>
                <w14:textFill>
                  <w14:solidFill>
                    <w14:schemeClr w14:val="tx1"/>
                  </w14:solidFill>
                </w14:textFill>
              </w:rPr>
              <w:t>:1</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4.42</w:t>
            </w:r>
          </w:p>
        </w:tc>
      </w:tr>
      <w:tr>
        <w:tblPrEx>
          <w:tblCellMar>
            <w:top w:w="0" w:type="dxa"/>
            <w:left w:w="108" w:type="dxa"/>
            <w:bottom w:w="0" w:type="dxa"/>
            <w:right w:w="108" w:type="dxa"/>
          </w:tblCellMar>
        </w:tblPrEx>
        <w:trPr>
          <w:trHeight w:val="579"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本科学历人数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37</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39</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7</w:t>
            </w:r>
            <w:r>
              <w:rPr>
                <w:rFonts w:hint="eastAsia" w:ascii="仿宋" w:hAnsi="仿宋" w:eastAsia="仿宋" w:cs="宋体"/>
                <w:color w:val="000000" w:themeColor="text1"/>
                <w:kern w:val="0"/>
                <w:sz w:val="28"/>
                <w:szCs w:val="28"/>
                <w14:textFill>
                  <w14:solidFill>
                    <w14:schemeClr w14:val="tx1"/>
                  </w14:solidFill>
                </w14:textFill>
              </w:rPr>
              <w:t>4</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3</w:t>
            </w:r>
            <w:r>
              <w:rPr>
                <w:rFonts w:hint="eastAsia" w:ascii="仿宋" w:hAnsi="仿宋" w:eastAsia="仿宋" w:cs="宋体"/>
                <w:color w:val="000000" w:themeColor="text1"/>
                <w:kern w:val="0"/>
                <w:sz w:val="28"/>
                <w:szCs w:val="28"/>
                <w14:textFill>
                  <w14:solidFill>
                    <w14:schemeClr w14:val="tx1"/>
                  </w14:solidFill>
                </w14:textFill>
              </w:rPr>
              <w:t>5</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89.74</w:t>
            </w:r>
            <w:r>
              <w:rPr>
                <w:rFonts w:hint="eastAsia" w:ascii="仿宋" w:hAnsi="仿宋" w:eastAsia="仿宋" w:cs="宋体"/>
                <w:color w:val="000000" w:themeColor="text1"/>
                <w:kern w:val="0"/>
                <w:sz w:val="28"/>
                <w:szCs w:val="28"/>
                <w14:textFill>
                  <w14:solidFill>
                    <w14:schemeClr w14:val="tx1"/>
                  </w14:solidFill>
                </w14:textFill>
              </w:rPr>
              <w:t>%</w:t>
            </w:r>
          </w:p>
        </w:tc>
      </w:tr>
      <w:tr>
        <w:tblPrEx>
          <w:tblCellMar>
            <w:top w:w="0" w:type="dxa"/>
            <w:left w:w="108" w:type="dxa"/>
            <w:bottom w:w="0" w:type="dxa"/>
            <w:right w:w="108" w:type="dxa"/>
          </w:tblCellMar>
        </w:tblPrEx>
        <w:trPr>
          <w:trHeight w:val="675"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专科学历人数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39</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43</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62</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19</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44.19</w:t>
            </w:r>
            <w:r>
              <w:rPr>
                <w:rFonts w:hint="eastAsia" w:ascii="仿宋" w:hAnsi="仿宋" w:eastAsia="仿宋" w:cs="宋体"/>
                <w:color w:val="000000" w:themeColor="text1"/>
                <w:kern w:val="0"/>
                <w:sz w:val="28"/>
                <w:szCs w:val="28"/>
                <w14:textFill>
                  <w14:solidFill>
                    <w14:schemeClr w14:val="tx1"/>
                  </w14:solidFill>
                </w14:textFill>
              </w:rPr>
              <w:t>%</w:t>
            </w:r>
          </w:p>
        </w:tc>
      </w:tr>
      <w:tr>
        <w:tblPrEx>
          <w:tblCellMar>
            <w:top w:w="0" w:type="dxa"/>
            <w:left w:w="108" w:type="dxa"/>
            <w:bottom w:w="0" w:type="dxa"/>
            <w:right w:w="108" w:type="dxa"/>
          </w:tblCellMar>
        </w:tblPrEx>
        <w:trPr>
          <w:trHeight w:val="579"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兼职教师人数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21</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13</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13</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0</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0%</w:t>
            </w:r>
          </w:p>
        </w:tc>
      </w:tr>
      <w:tr>
        <w:tblPrEx>
          <w:tblCellMar>
            <w:top w:w="0" w:type="dxa"/>
            <w:left w:w="108" w:type="dxa"/>
            <w:bottom w:w="0" w:type="dxa"/>
            <w:right w:w="108" w:type="dxa"/>
          </w:tblCellMar>
        </w:tblPrEx>
        <w:trPr>
          <w:trHeight w:val="660"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外聘教师人数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7</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5</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7</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40%</w:t>
            </w:r>
          </w:p>
        </w:tc>
      </w:tr>
      <w:tr>
        <w:tblPrEx>
          <w:tblCellMar>
            <w:top w:w="0" w:type="dxa"/>
            <w:left w:w="108" w:type="dxa"/>
            <w:bottom w:w="0" w:type="dxa"/>
            <w:right w:w="108" w:type="dxa"/>
          </w:tblCellMar>
        </w:tblPrEx>
        <w:trPr>
          <w:trHeight w:val="600"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实训教师人数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9</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12</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13</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themeColor="text1"/>
                <w:kern w:val="0"/>
                <w:sz w:val="28"/>
                <w:szCs w:val="28"/>
                <w:lang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1</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8.33</w:t>
            </w:r>
            <w:r>
              <w:rPr>
                <w:rFonts w:hint="eastAsia" w:ascii="仿宋" w:hAnsi="仿宋" w:eastAsia="仿宋" w:cs="宋体"/>
                <w:color w:val="000000" w:themeColor="text1"/>
                <w:kern w:val="0"/>
                <w:sz w:val="28"/>
                <w:szCs w:val="28"/>
                <w14:textFill>
                  <w14:solidFill>
                    <w14:schemeClr w14:val="tx1"/>
                  </w14:solidFill>
                </w14:textFill>
              </w:rPr>
              <w:t>%</w:t>
            </w:r>
          </w:p>
        </w:tc>
      </w:tr>
      <w:tr>
        <w:tblPrEx>
          <w:tblCellMar>
            <w:top w:w="0" w:type="dxa"/>
            <w:left w:w="108" w:type="dxa"/>
            <w:bottom w:w="0" w:type="dxa"/>
            <w:right w:w="108" w:type="dxa"/>
          </w:tblCellMar>
        </w:tblPrEx>
        <w:trPr>
          <w:trHeight w:val="645"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高级职称人数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9</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9</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9</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0</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0%</w:t>
            </w:r>
          </w:p>
        </w:tc>
      </w:tr>
      <w:tr>
        <w:tblPrEx>
          <w:tblCellMar>
            <w:top w:w="0" w:type="dxa"/>
            <w:left w:w="108" w:type="dxa"/>
            <w:bottom w:w="0" w:type="dxa"/>
            <w:right w:w="108" w:type="dxa"/>
          </w:tblCellMar>
        </w:tblPrEx>
        <w:trPr>
          <w:trHeight w:val="675"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中级职称人数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13</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13</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14</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7.7%</w:t>
            </w:r>
          </w:p>
        </w:tc>
      </w:tr>
      <w:tr>
        <w:tblPrEx>
          <w:tblCellMar>
            <w:top w:w="0" w:type="dxa"/>
            <w:left w:w="108" w:type="dxa"/>
            <w:bottom w:w="0" w:type="dxa"/>
            <w:right w:w="108" w:type="dxa"/>
          </w:tblCellMar>
        </w:tblPrEx>
        <w:trPr>
          <w:trHeight w:val="660"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初级职称人数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3</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5</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FF0000"/>
                <w:kern w:val="0"/>
                <w:sz w:val="28"/>
                <w:szCs w:val="28"/>
                <w:lang w:val="en-US" w:eastAsia="zh-CN"/>
              </w:rPr>
            </w:pPr>
            <w:r>
              <w:rPr>
                <w:rFonts w:hint="eastAsia" w:ascii="仿宋" w:hAnsi="仿宋" w:eastAsia="仿宋" w:cs="宋体"/>
                <w:color w:val="auto"/>
                <w:kern w:val="0"/>
                <w:sz w:val="28"/>
                <w:szCs w:val="28"/>
                <w:lang w:val="en-US" w:eastAsia="zh-CN"/>
              </w:rPr>
              <w:t>30</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25</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50</w:t>
            </w:r>
            <w:r>
              <w:rPr>
                <w:rFonts w:hint="eastAsia" w:ascii="仿宋" w:hAnsi="仿宋" w:eastAsia="仿宋" w:cs="宋体"/>
                <w:color w:val="000000" w:themeColor="text1"/>
                <w:kern w:val="0"/>
                <w:sz w:val="28"/>
                <w:szCs w:val="28"/>
                <w14:textFill>
                  <w14:solidFill>
                    <w14:schemeClr w14:val="tx1"/>
                  </w14:solidFill>
                </w14:textFill>
              </w:rPr>
              <w:t>%</w:t>
            </w:r>
          </w:p>
        </w:tc>
      </w:tr>
      <w:tr>
        <w:tblPrEx>
          <w:tblCellMar>
            <w:top w:w="0" w:type="dxa"/>
            <w:left w:w="108" w:type="dxa"/>
            <w:bottom w:w="0" w:type="dxa"/>
            <w:right w:w="108" w:type="dxa"/>
          </w:tblCellMar>
        </w:tblPrEx>
        <w:trPr>
          <w:trHeight w:val="655" w:hRule="atLeast"/>
        </w:trPr>
        <w:tc>
          <w:tcPr>
            <w:tcW w:w="216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themeColor="text1"/>
                <w:kern w:val="0"/>
                <w:sz w:val="28"/>
                <w:szCs w:val="28"/>
                <w14:textFill>
                  <w14:solidFill>
                    <w14:schemeClr w14:val="tx1"/>
                  </w14:solidFill>
                </w14:textFill>
              </w:rPr>
            </w:pPr>
            <w:r>
              <w:rPr>
                <w:rFonts w:hint="eastAsia" w:ascii="仿宋" w:hAnsi="仿宋" w:eastAsia="仿宋" w:cs="宋体"/>
                <w:b/>
                <w:color w:val="000000" w:themeColor="text1"/>
                <w:kern w:val="0"/>
                <w:sz w:val="28"/>
                <w:szCs w:val="28"/>
                <w14:textFill>
                  <w14:solidFill>
                    <w14:schemeClr w14:val="tx1"/>
                  </w14:solidFill>
                </w14:textFill>
              </w:rPr>
              <w:t>双师型人数</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12</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12</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13</w:t>
            </w:r>
          </w:p>
        </w:tc>
        <w:tc>
          <w:tcPr>
            <w:tcW w:w="121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8.3%</w:t>
            </w:r>
          </w:p>
        </w:tc>
      </w:tr>
    </w:tbl>
    <w:p>
      <w:pPr>
        <w:ind w:firstLine="643"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shd w:val="clear" w:color="auto" w:fill="FFFFFF"/>
          <w14:textFill>
            <w14:solidFill>
              <w14:schemeClr w14:val="tx1"/>
            </w14:solidFill>
          </w14:textFill>
        </w:rPr>
        <w:t>1.4</w:t>
      </w:r>
      <w:r>
        <w:rPr>
          <w:rFonts w:hint="eastAsia" w:ascii="仿宋" w:hAnsi="仿宋" w:eastAsia="仿宋" w:cs="仿宋"/>
          <w:b/>
          <w:bCs/>
          <w:color w:val="000000" w:themeColor="text1"/>
          <w:sz w:val="32"/>
          <w:szCs w:val="32"/>
          <w14:textFill>
            <w14:solidFill>
              <w14:schemeClr w14:val="tx1"/>
            </w14:solidFill>
          </w14:textFill>
        </w:rPr>
        <w:t>设施设备</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建设有教学楼A、教学楼B的1、2、3层分别为实训场地，实训场地面积6440平方米，满足学校实训实验需求，2019年度校内实训设备1583.9万元，各类专业在籍人数3139人，生均5045.9元。2020年更换多功能计算机机房电脑50套（原配机单价3700元/台，更换新机4200元每台）。实训设备总计1586.4万元，在籍人数5178人，生均3063.7元，2020年较上一年度生均减少1982.2元。（图3）</w:t>
      </w:r>
    </w:p>
    <w:p>
      <w:pPr>
        <w:ind w:firstLine="640" w:firstLineChars="200"/>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学校2019年度实训工位数1122个，生均工位数0.36个，2020年实训工位数1122个，生均工位数0.</w:t>
      </w:r>
      <w:r>
        <w:rPr>
          <w:rFonts w:hint="eastAsia" w:ascii="仿宋" w:hAnsi="仿宋" w:eastAsia="仿宋" w:cs="仿宋"/>
          <w:color w:val="000000" w:themeColor="text1"/>
          <w:sz w:val="32"/>
          <w:szCs w:val="32"/>
          <w:highlight w:val="none"/>
          <w:lang w:val="en-US" w:eastAsia="zh-CN"/>
          <w14:textFill>
            <w14:solidFill>
              <w14:schemeClr w14:val="tx1"/>
            </w14:solidFill>
          </w14:textFill>
        </w:rPr>
        <w:t>22</w:t>
      </w:r>
      <w:r>
        <w:rPr>
          <w:rFonts w:hint="eastAsia" w:ascii="仿宋" w:hAnsi="仿宋" w:eastAsia="仿宋" w:cs="仿宋"/>
          <w:color w:val="000000" w:themeColor="text1"/>
          <w:sz w:val="32"/>
          <w:szCs w:val="32"/>
          <w:highlight w:val="none"/>
          <w14:textFill>
            <w14:solidFill>
              <w14:schemeClr w14:val="tx1"/>
            </w14:solidFill>
          </w14:textFill>
        </w:rPr>
        <w:t>个，20</w:t>
      </w:r>
      <w:r>
        <w:rPr>
          <w:rFonts w:hint="eastAsia" w:ascii="仿宋" w:hAnsi="仿宋" w:eastAsia="仿宋" w:cs="仿宋"/>
          <w:color w:val="000000" w:themeColor="text1"/>
          <w:sz w:val="32"/>
          <w:szCs w:val="32"/>
          <w:highlight w:val="none"/>
          <w:lang w:val="en-US" w:eastAsia="zh-CN"/>
          <w14:textFill>
            <w14:solidFill>
              <w14:schemeClr w14:val="tx1"/>
            </w14:solidFill>
          </w14:textFill>
        </w:rPr>
        <w:t>20</w:t>
      </w:r>
      <w:r>
        <w:rPr>
          <w:rFonts w:hint="eastAsia" w:ascii="仿宋" w:hAnsi="仿宋" w:eastAsia="仿宋" w:cs="仿宋"/>
          <w:color w:val="000000" w:themeColor="text1"/>
          <w:sz w:val="32"/>
          <w:szCs w:val="32"/>
          <w:highlight w:val="none"/>
          <w14:textFill>
            <w14:solidFill>
              <w14:schemeClr w14:val="tx1"/>
            </w14:solidFill>
          </w14:textFill>
        </w:rPr>
        <w:t>年较上一年度生均工位数减少0</w:t>
      </w:r>
      <w:r>
        <w:rPr>
          <w:rFonts w:hint="eastAsia" w:ascii="仿宋" w:hAnsi="仿宋" w:eastAsia="仿宋" w:cs="仿宋"/>
          <w:color w:val="000000" w:themeColor="text1"/>
          <w:sz w:val="32"/>
          <w:szCs w:val="32"/>
          <w:highlight w:val="none"/>
          <w:lang w:val="en-US" w:eastAsia="zh-CN"/>
          <w14:textFill>
            <w14:solidFill>
              <w14:schemeClr w14:val="tx1"/>
            </w14:solidFill>
          </w14:textFill>
        </w:rPr>
        <w:t>.14</w:t>
      </w:r>
      <w:r>
        <w:rPr>
          <w:rFonts w:hint="eastAsia" w:ascii="仿宋" w:hAnsi="仿宋" w:eastAsia="仿宋" w:cs="仿宋"/>
          <w:color w:val="000000" w:themeColor="text1"/>
          <w:sz w:val="32"/>
          <w:szCs w:val="32"/>
          <w:highlight w:val="none"/>
          <w14:textFill>
            <w14:solidFill>
              <w14:schemeClr w14:val="tx1"/>
            </w14:solidFill>
          </w14:textFill>
        </w:rPr>
        <w:t>个。（图4）</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学校2019年度实训场地面积6440平方米，生均面积2.1平方米，2020年实训场地面积6440平方米，生均面积2.1平方米，2020年较上一年度生均减少0平方米。（图5）</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学校2020年度纸质图书79077册，生均15册，较上一年度生均增加3册。（图6）</w:t>
      </w:r>
    </w:p>
    <w:p>
      <w:pPr>
        <w:ind w:firstLine="630" w:firstLineChars="300"/>
        <w:rPr>
          <w:rFonts w:ascii="仿宋" w:hAnsi="仿宋" w:eastAsia="仿宋" w:cs="仿宋"/>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133985</wp:posOffset>
            </wp:positionH>
            <wp:positionV relativeFrom="paragraph">
              <wp:posOffset>342900</wp:posOffset>
            </wp:positionV>
            <wp:extent cx="5151755" cy="2649855"/>
            <wp:effectExtent l="0" t="0" r="10795" b="17145"/>
            <wp:wrapNone/>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仿宋" w:hAnsi="仿宋" w:eastAsia="仿宋" w:cs="仿宋"/>
          <w:color w:val="000000" w:themeColor="text1"/>
          <w:sz w:val="32"/>
          <w:szCs w:val="32"/>
          <w14:textFill>
            <w14:solidFill>
              <w14:schemeClr w14:val="tx1"/>
            </w14:solidFill>
          </w14:textFill>
        </w:rPr>
        <w:t>图3：</w:t>
      </w:r>
    </w:p>
    <w:p>
      <w:pPr>
        <w:ind w:firstLine="640" w:firstLineChars="200"/>
        <w:rPr>
          <w:rFonts w:ascii="仿宋" w:hAnsi="仿宋" w:eastAsia="仿宋" w:cs="仿宋"/>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仿宋" w:hAnsi="仿宋" w:eastAsia="仿宋" w:cs="仿宋"/>
          <w:color w:val="000000" w:themeColor="text1"/>
          <w:sz w:val="32"/>
          <w:szCs w:val="32"/>
          <w14:textFill>
            <w14:solidFill>
              <w14:schemeClr w14:val="tx1"/>
            </w14:solidFill>
          </w14:textFill>
        </w:rPr>
      </w:pPr>
    </w:p>
    <w:p>
      <w:pPr>
        <w:rPr>
          <w:rFonts w:ascii="仿宋" w:hAnsi="仿宋" w:eastAsia="仿宋" w:cs="仿宋"/>
          <w:color w:val="000000" w:themeColor="text1"/>
          <w:sz w:val="32"/>
          <w:szCs w:val="32"/>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123190</wp:posOffset>
            </wp:positionH>
            <wp:positionV relativeFrom="paragraph">
              <wp:posOffset>384175</wp:posOffset>
            </wp:positionV>
            <wp:extent cx="5116195" cy="2171700"/>
            <wp:effectExtent l="4445" t="4445" r="22860" b="14605"/>
            <wp:wrapNone/>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s="仿宋"/>
          <w:color w:val="000000" w:themeColor="text1"/>
          <w:sz w:val="32"/>
          <w:szCs w:val="32"/>
          <w14:textFill>
            <w14:solidFill>
              <w14:schemeClr w14:val="tx1"/>
            </w14:solidFill>
          </w14:textFill>
        </w:rPr>
        <w:t>图4：</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ind w:firstLine="640" w:firstLineChars="200"/>
        <w:rPr>
          <w:color w:val="000000" w:themeColor="text1"/>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图5：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328920" cy="3258820"/>
            <wp:effectExtent l="4445" t="5080" r="19685" b="1270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rPr>
          <w:color w:val="000000" w:themeColor="text1"/>
          <w14:textFill>
            <w14:solidFill>
              <w14:schemeClr w14:val="tx1"/>
            </w14:solidFill>
          </w14:textFill>
        </w:rPr>
      </w:pPr>
    </w:p>
    <w:p>
      <w:pPr>
        <w:ind w:firstLine="640" w:firstLineChars="200"/>
        <w:rPr>
          <w:color w:val="000000" w:themeColor="text1"/>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图6：</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302250" cy="3295015"/>
            <wp:effectExtent l="4445" t="4445" r="8255" b="1524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仿宋" w:hAnsi="仿宋" w:eastAsia="仿宋" w:cs="仿宋_GB2312"/>
          <w:b/>
          <w:bCs/>
          <w:color w:val="000000" w:themeColor="text1"/>
          <w:sz w:val="36"/>
          <w:szCs w:val="36"/>
          <w14:textFill>
            <w14:solidFill>
              <w14:schemeClr w14:val="tx1"/>
            </w14:solidFill>
          </w14:textFill>
        </w:rPr>
      </w:pPr>
    </w:p>
    <w:p>
      <w:pPr>
        <w:rPr>
          <w:rFonts w:ascii="仿宋" w:hAnsi="仿宋" w:eastAsia="仿宋" w:cs="仿宋_GB2312"/>
          <w:b/>
          <w:bCs/>
          <w:color w:val="000000" w:themeColor="text1"/>
          <w:sz w:val="36"/>
          <w:szCs w:val="36"/>
          <w14:textFill>
            <w14:solidFill>
              <w14:schemeClr w14:val="tx1"/>
            </w14:solidFill>
          </w14:textFill>
        </w:rPr>
      </w:pPr>
      <w:r>
        <w:rPr>
          <w:rFonts w:hint="eastAsia" w:ascii="仿宋" w:hAnsi="仿宋" w:eastAsia="仿宋" w:cs="仿宋_GB2312"/>
          <w:b/>
          <w:bCs/>
          <w:color w:val="000000" w:themeColor="text1"/>
          <w:sz w:val="36"/>
          <w:szCs w:val="36"/>
          <w14:textFill>
            <w14:solidFill>
              <w14:schemeClr w14:val="tx1"/>
            </w14:solidFill>
          </w14:textFill>
        </w:rPr>
        <w:t>二、学生发展</w:t>
      </w:r>
    </w:p>
    <w:p>
      <w:pPr>
        <w:ind w:firstLine="643" w:firstLineChars="200"/>
        <w:rPr>
          <w:rFonts w:ascii="仿宋" w:hAnsi="仿宋" w:eastAsia="仿宋" w:cs="仿宋_GB2312"/>
          <w:b/>
          <w:bCs/>
          <w:color w:val="000000" w:themeColor="text1"/>
          <w:sz w:val="36"/>
          <w:szCs w:val="36"/>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2.1学生素质</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我校秉承立德树人、德技兼修的原则</w:t>
      </w:r>
      <w:r>
        <w:rPr>
          <w:rFonts w:ascii="仿宋" w:hAnsi="仿宋" w:eastAsia="仿宋" w:cstheme="minorBidi"/>
          <w:color w:val="000000" w:themeColor="text1"/>
          <w:kern w:val="2"/>
          <w:sz w:val="32"/>
          <w:szCs w:val="32"/>
          <w14:textFill>
            <w14:solidFill>
              <w14:schemeClr w14:val="tx1"/>
            </w14:solidFill>
          </w14:textFill>
        </w:rPr>
        <w:t>，</w:t>
      </w:r>
      <w:r>
        <w:rPr>
          <w:rFonts w:hint="eastAsia" w:ascii="仿宋" w:hAnsi="仿宋" w:eastAsia="仿宋" w:cstheme="minorBidi"/>
          <w:color w:val="000000" w:themeColor="text1"/>
          <w:kern w:val="2"/>
          <w:sz w:val="32"/>
          <w:szCs w:val="32"/>
          <w14:textFill>
            <w14:solidFill>
              <w14:schemeClr w14:val="tx1"/>
            </w14:solidFill>
          </w14:textFill>
        </w:rPr>
        <w:t>优化育人措施，培养德技兼修人才。首先，在</w:t>
      </w:r>
      <w:r>
        <w:rPr>
          <w:rFonts w:ascii="仿宋" w:hAnsi="仿宋" w:eastAsia="仿宋" w:cstheme="minorBidi"/>
          <w:color w:val="000000" w:themeColor="text1"/>
          <w:kern w:val="2"/>
          <w:sz w:val="32"/>
          <w:szCs w:val="32"/>
          <w14:textFill>
            <w14:solidFill>
              <w14:schemeClr w14:val="tx1"/>
            </w14:solidFill>
          </w14:textFill>
        </w:rPr>
        <w:t>课程设置上</w:t>
      </w:r>
      <w:r>
        <w:rPr>
          <w:rFonts w:hint="eastAsia" w:ascii="仿宋" w:hAnsi="仿宋" w:eastAsia="仿宋" w:cstheme="minorBidi"/>
          <w:color w:val="000000" w:themeColor="text1"/>
          <w:kern w:val="2"/>
          <w:sz w:val="32"/>
          <w:szCs w:val="32"/>
          <w14:textFill>
            <w14:solidFill>
              <w14:schemeClr w14:val="tx1"/>
            </w14:solidFill>
          </w14:textFill>
        </w:rPr>
        <w:t>，</w:t>
      </w:r>
      <w:r>
        <w:rPr>
          <w:rFonts w:ascii="仿宋" w:hAnsi="仿宋" w:eastAsia="仿宋" w:cstheme="minorBidi"/>
          <w:color w:val="000000" w:themeColor="text1"/>
          <w:kern w:val="2"/>
          <w:sz w:val="32"/>
          <w:szCs w:val="32"/>
          <w14:textFill>
            <w14:solidFill>
              <w14:schemeClr w14:val="tx1"/>
            </w14:solidFill>
          </w14:textFill>
        </w:rPr>
        <w:t>公共基础课程和专业技能课程</w:t>
      </w:r>
      <w:r>
        <w:rPr>
          <w:rFonts w:hint="eastAsia" w:ascii="仿宋" w:hAnsi="仿宋" w:eastAsia="仿宋" w:cstheme="minorBidi"/>
          <w:color w:val="000000" w:themeColor="text1"/>
          <w:kern w:val="2"/>
          <w:sz w:val="32"/>
          <w:szCs w:val="32"/>
          <w14:textFill>
            <w14:solidFill>
              <w14:schemeClr w14:val="tx1"/>
            </w14:solidFill>
          </w14:textFill>
        </w:rPr>
        <w:t>科学开设、学时分配合理，加强了对学生思想素质的提高和专业技术技能的提升。2020年，文化课合格率92%，体质测评合格率91%，专业技能合格率95%，职业资格证考证率94%，一次性毕业率95%（与上一年度相比变化情况如图7）。</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在教学中，突出了以诚信、敬业为重点的职业道德教育，强化了思想政治教育，重视了心理健康教育和情商教育，发挥了学校教育、家庭教育和社会教育的合力，把学生培养成了具有良好的思想道德品质、拥有熟练的职业技能、善于创新创业的高素质劳动者。其次，在学生管理工作中，强化学生良好品德行为习惯的养成，探索学生良好心理素质形成的规律与方法；注重加强学生日常行为规范、文明礼貌和养成教育；深入开展诚信、感恩、挫折教育，提升学生自我完善的内驱力；以公民道德和普法教育为重点，加强对学生的法制、交通安全、消防知识、反校园欺凌专项整治等教育；以组织活动为载体，增强学生的凝聚力，丰富学生的精神文化生活，培养学生良好的行为品质，促进学生健康、全面发展。</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图7：</w:t>
      </w:r>
    </w:p>
    <w:p>
      <w:pPr>
        <w:pStyle w:val="6"/>
        <w:spacing w:before="0" w:beforeAutospacing="0" w:after="0" w:afterAutospacing="0"/>
        <w:jc w:val="both"/>
        <w:rPr>
          <w:rFonts w:ascii="仿宋" w:hAnsi="仿宋" w:eastAsia="仿宋" w:cstheme="minorBidi"/>
          <w:color w:val="000000" w:themeColor="text1"/>
          <w:kern w:val="2"/>
          <w:sz w:val="32"/>
          <w:szCs w:val="32"/>
          <w14:textFill>
            <w14:solidFill>
              <w14:schemeClr w14:val="tx1"/>
            </w14:solidFill>
          </w14:textFill>
        </w:rPr>
      </w:pPr>
      <w:r>
        <w:rPr>
          <w:color w:val="000000" w:themeColor="text1"/>
          <w14:textFill>
            <w14:solidFill>
              <w14:schemeClr w14:val="tx1"/>
            </w14:solidFill>
          </w14:textFill>
        </w:rPr>
        <w:drawing>
          <wp:inline distT="0" distB="0" distL="114300" distR="114300">
            <wp:extent cx="5273675" cy="2270760"/>
            <wp:effectExtent l="4445" t="4445" r="17780" b="1079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2.2在校体验</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建设和谐幸福校园是我校的重点工作，学校通过问卷调查的形式进行了各项满意度调查，通过随机抽取数据分析，全校学生理论学习满意度97%，专业学习满意度93%，校内实习满意度95%，校外实习满意度94%，校园文化社团活动满意度95%，生活满意度96%，安全满意度92%，毕业生满意度93%（图8）。</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图8：</w:t>
      </w:r>
    </w:p>
    <w:p>
      <w:pPr>
        <w:rPr>
          <w:rFonts w:ascii="仿宋" w:hAnsi="仿宋" w:eastAsia="仿宋" w:cs="仿宋_GB2312"/>
          <w:color w:val="000000" w:themeColor="text1"/>
          <w:sz w:val="32"/>
          <w:szCs w:val="32"/>
          <w14:textFill>
            <w14:solidFill>
              <w14:schemeClr w14:val="tx1"/>
            </w14:solidFill>
          </w14:textFill>
        </w:rPr>
      </w:pPr>
      <w:r>
        <w:rPr>
          <w:color w:val="000000" w:themeColor="text1"/>
          <w14:textFill>
            <w14:solidFill>
              <w14:schemeClr w14:val="tx1"/>
            </w14:solidFill>
          </w14:textFill>
        </w:rPr>
        <w:drawing>
          <wp:inline distT="0" distB="0" distL="114300" distR="114300">
            <wp:extent cx="5167630" cy="2797810"/>
            <wp:effectExtent l="4445" t="4445" r="9525" b="1714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2.3资助情况</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我校在市、区教育主管部门领导下，在资助评审过程中，本着公开、公平、公正的原则，资助范围、资助对象、资助标准符合政策要求不存在暗箱操作、人为调节分配或平均分配、不讲人情，对评审结果进行有效公示。</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2020年春季2017级免学费人数448人，2018级916人，2019级1517人，合计2881人，共计金额273.695万元；享受助学金人数1133人，合计金额113.3万元。</w:t>
      </w:r>
    </w:p>
    <w:p>
      <w:pPr>
        <w:ind w:firstLine="640" w:firstLineChars="200"/>
        <w:rPr>
          <w:rFonts w:hint="eastAsia" w:ascii="仿宋" w:hAnsi="仿宋" w:eastAsia="仿宋" w:cs="仿宋_GB2312"/>
          <w:color w:val="000000" w:themeColor="text1"/>
          <w:sz w:val="32"/>
          <w:szCs w:val="32"/>
          <w:lang w:eastAsia="zh-CN"/>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2020免秋季2018级免学费人数916人，2019级1392人，2020级2580人，合计4888人，共计金额464.36万元；享受助学金人数1359人，合计金额135.9万元。学生助学金均已打卡发放到每一位学生手里。</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    国家奖学金：2020年我校2018级计算机一班邓杰同学，2018级汽修五班杨文斌同学分别获得中职国家奖学金6000和国家奖学金证书。</w:t>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2.4就业质量</w:t>
      </w:r>
    </w:p>
    <w:p>
      <w:pPr>
        <w:ind w:firstLine="660" w:firstLineChars="200"/>
        <w:rPr>
          <w:rFonts w:ascii="仿宋" w:hAnsi="仿宋" w:eastAsia="仿宋" w:cs="仿宋"/>
          <w:color w:val="000000" w:themeColor="text1"/>
          <w:sz w:val="33"/>
          <w14:textFill>
            <w14:solidFill>
              <w14:schemeClr w14:val="tx1"/>
            </w14:solidFill>
          </w14:textFill>
        </w:rPr>
      </w:pPr>
      <w:r>
        <w:rPr>
          <w:rFonts w:hint="eastAsia" w:ascii="仿宋" w:hAnsi="仿宋" w:eastAsia="仿宋" w:cs="仿宋"/>
          <w:color w:val="000000" w:themeColor="text1"/>
          <w:sz w:val="33"/>
          <w14:textFill>
            <w14:solidFill>
              <w14:schemeClr w14:val="tx1"/>
            </w14:solidFill>
          </w14:textFill>
        </w:rPr>
        <w:t>2020年度由于毕业生少于往年，就业人数、升学人数也相应有所减少。但毕业生平均月薪提高，就业质量有所提升，毕业生对学校的满意度也有所提升。具体数据见下表：（表2、表3）</w:t>
      </w:r>
    </w:p>
    <w:p>
      <w:pPr>
        <w:ind w:firstLine="660" w:firstLineChars="200"/>
        <w:rPr>
          <w:rFonts w:ascii="仿宋" w:hAnsi="仿宋" w:eastAsia="仿宋" w:cs="仿宋"/>
          <w:color w:val="000000" w:themeColor="text1"/>
          <w:sz w:val="33"/>
          <w14:textFill>
            <w14:solidFill>
              <w14:schemeClr w14:val="tx1"/>
            </w14:solidFill>
          </w14:textFill>
        </w:rPr>
      </w:pPr>
    </w:p>
    <w:p>
      <w:pPr>
        <w:ind w:firstLine="660" w:firstLineChars="200"/>
        <w:rPr>
          <w:rFonts w:ascii="仿宋" w:hAnsi="仿宋" w:eastAsia="仿宋" w:cs="仿宋"/>
          <w:color w:val="000000" w:themeColor="text1"/>
          <w:sz w:val="33"/>
          <w14:textFill>
            <w14:solidFill>
              <w14:schemeClr w14:val="tx1"/>
            </w14:solidFill>
          </w14:textFill>
        </w:rPr>
      </w:pPr>
    </w:p>
    <w:p>
      <w:pPr>
        <w:ind w:firstLine="660" w:firstLineChars="200"/>
        <w:rPr>
          <w:rFonts w:ascii="仿宋" w:hAnsi="仿宋" w:eastAsia="仿宋" w:cs="仿宋"/>
          <w:color w:val="000000" w:themeColor="text1"/>
          <w:sz w:val="33"/>
          <w14:textFill>
            <w14:solidFill>
              <w14:schemeClr w14:val="tx1"/>
            </w14:solidFill>
          </w14:textFill>
        </w:rPr>
      </w:pPr>
      <w:r>
        <w:rPr>
          <w:rFonts w:hint="eastAsia" w:ascii="仿宋" w:hAnsi="仿宋" w:eastAsia="仿宋" w:cs="仿宋"/>
          <w:color w:val="000000" w:themeColor="text1"/>
          <w:sz w:val="33"/>
          <w14:textFill>
            <w14:solidFill>
              <w14:schemeClr w14:val="tx1"/>
            </w14:solidFill>
          </w14:textFill>
        </w:rPr>
        <w:t>表2：</w:t>
      </w:r>
    </w:p>
    <w:p>
      <w:pPr>
        <w:ind w:firstLine="2313" w:firstLineChars="64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毕业生就业情况表</w:t>
      </w:r>
    </w:p>
    <w:p>
      <w:pPr>
        <w:widowControl/>
        <w:jc w:val="left"/>
        <w:rPr>
          <w:rFonts w:ascii="仿宋" w:hAnsi="仿宋" w:eastAsia="仿宋" w:cs="仿宋"/>
          <w:b/>
          <w:color w:val="000000" w:themeColor="text1"/>
          <w:sz w:val="36"/>
          <w:szCs w:val="36"/>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drawing>
          <wp:inline distT="0" distB="0" distL="114300" distR="114300">
            <wp:extent cx="5781675" cy="3799205"/>
            <wp:effectExtent l="0" t="0" r="9525" b="1079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3"/>
                    <a:stretch>
                      <a:fillRect/>
                    </a:stretch>
                  </pic:blipFill>
                  <pic:spPr>
                    <a:xfrm>
                      <a:off x="0" y="0"/>
                      <a:ext cx="5781675" cy="3799205"/>
                    </a:xfrm>
                    <a:prstGeom prst="rect">
                      <a:avLst/>
                    </a:prstGeom>
                    <a:noFill/>
                    <a:ln w="9525">
                      <a:noFill/>
                    </a:ln>
                  </pic:spPr>
                </pic:pic>
              </a:graphicData>
            </a:graphic>
          </wp:inline>
        </w:drawing>
      </w:r>
    </w:p>
    <w:p>
      <w:pPr>
        <w:rPr>
          <w:rFonts w:ascii="新宋体" w:hAnsi="新宋体" w:eastAsia="新宋体" w:cs="新宋体"/>
          <w:b/>
          <w:color w:val="000000" w:themeColor="text1"/>
          <w:sz w:val="37"/>
          <w14:textFill>
            <w14:solidFill>
              <w14:schemeClr w14:val="tx1"/>
            </w14:solidFill>
          </w14:textFill>
        </w:rPr>
      </w:pPr>
      <w:r>
        <w:rPr>
          <w:rFonts w:hint="eastAsia" w:ascii="新宋体" w:hAnsi="新宋体" w:eastAsia="新宋体" w:cs="新宋体"/>
          <w:bCs/>
          <w:color w:val="000000" w:themeColor="text1"/>
          <w:sz w:val="37"/>
          <w14:textFill>
            <w14:solidFill>
              <w14:schemeClr w14:val="tx1"/>
            </w14:solidFill>
          </w14:textFill>
        </w:rPr>
        <w:t>表3：</w:t>
      </w:r>
    </w:p>
    <w:p>
      <w:pPr>
        <w:ind w:firstLine="361" w:firstLineChars="100"/>
        <w:rPr>
          <w:rFonts w:ascii="新宋体" w:hAnsi="新宋体" w:eastAsia="新宋体" w:cs="新宋体"/>
          <w:b/>
          <w:color w:val="000000" w:themeColor="text1"/>
          <w:sz w:val="36"/>
          <w:szCs w:val="36"/>
          <w14:textFill>
            <w14:solidFill>
              <w14:schemeClr w14:val="tx1"/>
            </w14:solidFill>
          </w14:textFill>
        </w:rPr>
      </w:pPr>
      <w:r>
        <w:rPr>
          <w:rFonts w:hint="eastAsia" w:ascii="新宋体" w:hAnsi="新宋体" w:eastAsia="新宋体" w:cs="新宋体"/>
          <w:b/>
          <w:color w:val="000000" w:themeColor="text1"/>
          <w:sz w:val="36"/>
          <w:szCs w:val="36"/>
          <w14:textFill>
            <w14:solidFill>
              <w14:schemeClr w14:val="tx1"/>
            </w14:solidFill>
          </w14:textFill>
        </w:rPr>
        <w:t>2020年度毕业生分专业类别就业率、对口率统计表</w:t>
      </w:r>
    </w:p>
    <w:p>
      <w:pPr>
        <w:widowControl/>
        <w:jc w:val="left"/>
        <w:rPr>
          <w:rFonts w:ascii="仿宋" w:hAnsi="仿宋" w:eastAsia="仿宋" w:cs="仿宋"/>
          <w:color w:val="000000" w:themeColor="text1"/>
          <w:sz w:val="32"/>
          <w:szCs w:val="32"/>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drawing>
          <wp:inline distT="0" distB="0" distL="114300" distR="114300">
            <wp:extent cx="5702935" cy="2991485"/>
            <wp:effectExtent l="0" t="0" r="12065" b="1841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4"/>
                    <a:stretch>
                      <a:fillRect/>
                    </a:stretch>
                  </pic:blipFill>
                  <pic:spPr>
                    <a:xfrm>
                      <a:off x="0" y="0"/>
                      <a:ext cx="5702935" cy="2991485"/>
                    </a:xfrm>
                    <a:prstGeom prst="rect">
                      <a:avLst/>
                    </a:prstGeom>
                    <a:noFill/>
                    <a:ln w="9525">
                      <a:noFill/>
                    </a:ln>
                  </pic:spPr>
                </pic:pic>
              </a:graphicData>
            </a:graphic>
          </wp:inline>
        </w:drawing>
      </w:r>
    </w:p>
    <w:p>
      <w:pPr>
        <w:rPr>
          <w:rFonts w:ascii="新宋体" w:hAnsi="新宋体" w:eastAsia="新宋体" w:cs="新宋体"/>
          <w:b/>
          <w:color w:val="000000" w:themeColor="text1"/>
          <w:sz w:val="37"/>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图9：</w:t>
      </w:r>
    </w:p>
    <w:p>
      <w:pPr>
        <w:ind w:firstLine="1486" w:firstLineChars="400"/>
        <w:rPr>
          <w:rFonts w:ascii="新宋体" w:hAnsi="新宋体" w:eastAsia="新宋体" w:cs="新宋体"/>
          <w:color w:val="000000" w:themeColor="text1"/>
          <w14:textFill>
            <w14:solidFill>
              <w14:schemeClr w14:val="tx1"/>
            </w14:solidFill>
          </w14:textFill>
        </w:rPr>
      </w:pPr>
      <w:r>
        <w:rPr>
          <w:rFonts w:hint="eastAsia" w:ascii="新宋体" w:hAnsi="新宋体" w:eastAsia="新宋体" w:cs="新宋体"/>
          <w:b/>
          <w:color w:val="000000" w:themeColor="text1"/>
          <w:sz w:val="37"/>
          <w14:textFill>
            <w14:solidFill>
              <w14:schemeClr w14:val="tx1"/>
            </w14:solidFill>
          </w14:textFill>
        </w:rPr>
        <w:t>2020年各专业毕业生对口就业人数</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01920" cy="3230880"/>
            <wp:effectExtent l="5080" t="4445" r="12700" b="222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2.5职业发展</w:t>
      </w:r>
    </w:p>
    <w:p>
      <w:pPr>
        <w:widowControl/>
        <w:shd w:val="clear" w:color="auto" w:fill="FFFFFF"/>
        <w:ind w:right="-483" w:rightChars="-230" w:firstLine="640" w:firstLineChars="200"/>
        <w:jc w:val="lef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创新、创业教育是一种“就业型”教育，也是一种“发展型”教育，既体现</w:t>
      </w:r>
      <w:r>
        <w:fldChar w:fldCharType="begin"/>
      </w:r>
      <w:r>
        <w:instrText xml:space="preserve"> HYPERLINK "http://cpro.baidu.com/cpro/ui/uijs.php?adclass=0&amp;app_id=0&amp;c=news&amp;cf=1001&amp;ch=0&amp;di=128&amp;fv=19&amp;is_app=0&amp;jk=ef545a0edc5d9931&amp;k=%D6%B0%D2%B5%BD%CC%D3%FD&amp;k0=%D6%B0%D2%B5%BD%CC%D3%FD&amp;kdi0=0&amp;luki=5&amp;mcpm=0&amp;n=10&amp;p=baidu&amp;q=haoshuduoduo_cpr&amp;rb=0&amp;rs=1&amp;seller_id=1&amp;sid=31995ddce5a54ef&amp;ssp2=1&amp;stid=9&amp;t=tpclicked3_hc&amp;td=1959052&amp;tu=u1959052&amp;u=http%3A%2F%2Fwww%2Eniubb%2Enet%2Farticle%2F581296%2D1%2F1%2F&amp;urlid=0" \t "_blank" </w:instrText>
      </w:r>
      <w:r>
        <w:fldChar w:fldCharType="separate"/>
      </w:r>
      <w:r>
        <w:rPr>
          <w:rFonts w:hint="eastAsia" w:ascii="仿宋" w:hAnsi="仿宋" w:eastAsia="仿宋" w:cs="仿宋_GB2312"/>
          <w:color w:val="000000" w:themeColor="text1"/>
          <w:sz w:val="32"/>
          <w:szCs w:val="32"/>
          <w14:textFill>
            <w14:solidFill>
              <w14:schemeClr w14:val="tx1"/>
            </w14:solidFill>
          </w14:textFill>
        </w:rPr>
        <w:t>职业教育</w:t>
      </w:r>
      <w:r>
        <w:rPr>
          <w:rFonts w:hint="eastAsia" w:ascii="仿宋" w:hAnsi="仿宋" w:eastAsia="仿宋" w:cs="仿宋_GB2312"/>
          <w:color w:val="000000" w:themeColor="text1"/>
          <w:sz w:val="32"/>
          <w:szCs w:val="32"/>
          <w14:textFill>
            <w14:solidFill>
              <w14:schemeClr w14:val="tx1"/>
            </w14:solidFill>
          </w14:textFill>
        </w:rPr>
        <w:fldChar w:fldCharType="end"/>
      </w:r>
      <w:r>
        <w:rPr>
          <w:rFonts w:hint="eastAsia" w:ascii="仿宋" w:hAnsi="仿宋" w:eastAsia="仿宋" w:cs="仿宋_GB2312"/>
          <w:color w:val="000000" w:themeColor="text1"/>
          <w:sz w:val="32"/>
          <w:szCs w:val="32"/>
          <w14:textFill>
            <w14:solidFill>
              <w14:schemeClr w14:val="tx1"/>
            </w14:solidFill>
          </w14:textFill>
        </w:rPr>
        <w:t>的内涵，又突出教育创新和对学生实际能力的培养，既是中职学生职业生涯设计、实现自身价值和满足现代职业教育发展的客观要求，也是中等职业学校教育教学改革的必然选择。一个人要想在竞争激烈的社会里立于不败之地，除了要有深厚的科学文化知识之外，还要具备</w:t>
      </w:r>
      <w:r>
        <w:fldChar w:fldCharType="begin"/>
      </w:r>
      <w:r>
        <w:instrText xml:space="preserve"> HYPERLINK "http://cpro.baidu.com/cpro/ui/uijs.php?adclass=0&amp;app_id=0&amp;c=news&amp;cf=1001&amp;ch=0&amp;di=128&amp;fv=19&amp;is_app=0&amp;jk=ef545a0edc5d9931&amp;k=%B4%B4%D2%B5%BE%AB%C9%F1&amp;k0=%B4%B4%D2%B5%BE%AB%C9%F1&amp;kdi0=0&amp;luki=7&amp;mcpm=0&amp;n=10&amp;p=baidu&amp;q=haoshuduoduo_cpr&amp;rb=0&amp;rs=1&amp;seller_id=1&amp;sid=31995ddce5a54ef&amp;ssp2=1&amp;stid=9&amp;t=tpclicked3_hc&amp;td=1959052&amp;tu=u1959052&amp;u=http%3A%2F%2Fwww%2Eniubb%2Enet%2Farticle%2F581296%2D1%2F1%2F&amp;urlid=0" \t "_blank" </w:instrText>
      </w:r>
      <w:r>
        <w:fldChar w:fldCharType="separate"/>
      </w:r>
      <w:r>
        <w:rPr>
          <w:rFonts w:hint="eastAsia" w:ascii="仿宋" w:hAnsi="仿宋" w:eastAsia="仿宋" w:cs="仿宋_GB2312"/>
          <w:color w:val="000000" w:themeColor="text1"/>
          <w:sz w:val="32"/>
          <w:szCs w:val="32"/>
          <w14:textFill>
            <w14:solidFill>
              <w14:schemeClr w14:val="tx1"/>
            </w14:solidFill>
          </w14:textFill>
        </w:rPr>
        <w:t>创业精神</w:t>
      </w:r>
      <w:r>
        <w:rPr>
          <w:rFonts w:hint="eastAsia" w:ascii="仿宋" w:hAnsi="仿宋" w:eastAsia="仿宋" w:cs="仿宋_GB2312"/>
          <w:color w:val="000000" w:themeColor="text1"/>
          <w:sz w:val="32"/>
          <w:szCs w:val="32"/>
          <w14:textFill>
            <w14:solidFill>
              <w14:schemeClr w14:val="tx1"/>
            </w14:solidFill>
          </w14:textFill>
        </w:rPr>
        <w:fldChar w:fldCharType="end"/>
      </w:r>
      <w:r>
        <w:rPr>
          <w:rFonts w:hint="eastAsia" w:ascii="仿宋" w:hAnsi="仿宋" w:eastAsia="仿宋" w:cs="仿宋_GB2312"/>
          <w:color w:val="000000" w:themeColor="text1"/>
          <w:sz w:val="32"/>
          <w:szCs w:val="32"/>
          <w14:textFill>
            <w14:solidFill>
              <w14:schemeClr w14:val="tx1"/>
            </w14:solidFill>
          </w14:textFill>
        </w:rPr>
        <w:t>。因此，职业教育不仅仅是学生的就业培训，更应加强在创造、创新、创业能力方面的教育，培养学生</w:t>
      </w:r>
      <w:r>
        <w:fldChar w:fldCharType="begin"/>
      </w:r>
      <w:r>
        <w:instrText xml:space="preserve"> HYPERLINK "http://cpro.baidu.com/cpro/ui/uijs.php?adclass=0&amp;app_id=0&amp;c=news&amp;cf=1001&amp;ch=0&amp;di=128&amp;fv=19&amp;is_app=0&amp;jk=ef545a0edc5d9931&amp;k=%D7%D4%D6%F7%B4%B4%D2%B5&amp;k0=%D7%D4%D6%F7%B4%B4%D2%B5&amp;kdi0=0&amp;luki=8&amp;mcpm=0&amp;n=10&amp;p=baidu&amp;q=haoshuduoduo_cpr&amp;rb=0&amp;rs=1&amp;seller_id=1&amp;sid=31995ddce5a54ef&amp;ssp2=1&amp;stid=9&amp;t=tpclicked3_hc&amp;td=1959052&amp;tu=u1959052&amp;u=http%3A%2F%2Fwww%2Eniubb%2Enet%2Farticle%2F581296%2D1%2F1%2F&amp;urlid=0" \t "_blank" </w:instrText>
      </w:r>
      <w:r>
        <w:fldChar w:fldCharType="separate"/>
      </w:r>
      <w:r>
        <w:rPr>
          <w:rFonts w:hint="eastAsia" w:ascii="仿宋" w:hAnsi="仿宋" w:eastAsia="仿宋" w:cs="仿宋_GB2312"/>
          <w:color w:val="000000" w:themeColor="text1"/>
          <w:sz w:val="32"/>
          <w:szCs w:val="32"/>
          <w14:textFill>
            <w14:solidFill>
              <w14:schemeClr w14:val="tx1"/>
            </w14:solidFill>
          </w14:textFill>
        </w:rPr>
        <w:t>自主创业</w:t>
      </w:r>
      <w:r>
        <w:rPr>
          <w:rFonts w:hint="eastAsia" w:ascii="仿宋" w:hAnsi="仿宋" w:eastAsia="仿宋" w:cs="仿宋_GB2312"/>
          <w:color w:val="000000" w:themeColor="text1"/>
          <w:sz w:val="32"/>
          <w:szCs w:val="32"/>
          <w14:textFill>
            <w14:solidFill>
              <w14:schemeClr w14:val="tx1"/>
            </w14:solidFill>
          </w14:textFill>
        </w:rPr>
        <w:fldChar w:fldCharType="end"/>
      </w:r>
      <w:r>
        <w:rPr>
          <w:rFonts w:hint="eastAsia" w:ascii="仿宋" w:hAnsi="仿宋" w:eastAsia="仿宋" w:cs="仿宋_GB2312"/>
          <w:color w:val="000000" w:themeColor="text1"/>
          <w:sz w:val="32"/>
          <w:szCs w:val="32"/>
          <w14:textFill>
            <w14:solidFill>
              <w14:schemeClr w14:val="tx1"/>
            </w14:solidFill>
          </w14:textFill>
        </w:rPr>
        <w:t>的意识，开发和提高学生的创业能力，培养创业精神，为各行各业输送更多的创业型人才。</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近年来，我校以“重技能、厚基础、宽专业、多领域”为原则设置和调整课程。其做法有三条。一是深入研究课程之间的内在联系，如文化课与专业课之间的联系，理论课与实训课之间的结合等，根据专业和学生特点，对课程进行适当的增减，对教材中有关培养创造力的课程内容重点讲授并进行实训演练，以提高教学效果。二是开设创业和就业指导课程。三是邀请成功人士来校介绍创业、就业经验，使学生在就业观念上有新的转变。</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培养学生的创业意识，创业意识是创业的基础和前提。创业教育重在培养学生的创业意识，提高学生的整体素质。要转变学生的</w:t>
      </w:r>
      <w:r>
        <w:fldChar w:fldCharType="begin"/>
      </w:r>
      <w:r>
        <w:instrText xml:space="preserve"> HYPERLINK "http://cpro.baidu.com/cpro/ui/uijs.php?adclass=0&amp;app_id=0&amp;c=news&amp;cf=1001&amp;ch=0&amp;di=128&amp;fv=19&amp;is_app=0&amp;jk=ef545a0edc5d9931&amp;k=%BE%CD%D2%B5&amp;k0=%BE%CD%D2%B5&amp;kdi0=0&amp;luki=4&amp;mcpm=0&amp;n=10&amp;p=baidu&amp;q=haoshuduoduo_cpr&amp;rb=0&amp;rs=1&amp;seller_id=1&amp;sid=31995ddce5a54ef&amp;ssp2=1&amp;stid=9&amp;t=tpclicked3_hc&amp;td=1959052&amp;tu=u1959052&amp;u=http%3A%2F%2Fwww%2Eniubb%2Enet%2Farticle%2F581296%2D1%2F1%2F&amp;urlid=0" \t "_blank" </w:instrText>
      </w:r>
      <w:r>
        <w:fldChar w:fldCharType="separate"/>
      </w:r>
      <w:r>
        <w:rPr>
          <w:rFonts w:hint="eastAsia" w:ascii="仿宋" w:hAnsi="仿宋" w:eastAsia="仿宋" w:cs="仿宋_GB2312"/>
          <w:color w:val="000000" w:themeColor="text1"/>
          <w:sz w:val="32"/>
          <w:szCs w:val="32"/>
          <w14:textFill>
            <w14:solidFill>
              <w14:schemeClr w14:val="tx1"/>
            </w14:solidFill>
          </w14:textFill>
        </w:rPr>
        <w:t>就业</w:t>
      </w:r>
      <w:r>
        <w:rPr>
          <w:rFonts w:hint="eastAsia" w:ascii="仿宋" w:hAnsi="仿宋" w:eastAsia="仿宋" w:cs="仿宋_GB2312"/>
          <w:color w:val="000000" w:themeColor="text1"/>
          <w:sz w:val="32"/>
          <w:szCs w:val="32"/>
          <w14:textFill>
            <w14:solidFill>
              <w14:schemeClr w14:val="tx1"/>
            </w14:solidFill>
          </w14:textFill>
        </w:rPr>
        <w:fldChar w:fldCharType="end"/>
      </w:r>
      <w:r>
        <w:rPr>
          <w:rFonts w:hint="eastAsia" w:ascii="仿宋" w:hAnsi="仿宋" w:eastAsia="仿宋" w:cs="仿宋_GB2312"/>
          <w:color w:val="000000" w:themeColor="text1"/>
          <w:sz w:val="32"/>
          <w:szCs w:val="32"/>
          <w14:textFill>
            <w14:solidFill>
              <w14:schemeClr w14:val="tx1"/>
            </w14:solidFill>
          </w14:textFill>
        </w:rPr>
        <w:t>观念，就要做到“三破三立”，即破除等、靠、看的被动就业观念，立敢想、敢干、敢试、敢闯的自主创业新观念；破除安于现状、得过且过、不思进取的旧观念，立有所作为、开拓进取、创业光荣的新观念；破除高学历者才能创业的旧观念，立</w:t>
      </w:r>
      <w:r>
        <w:fldChar w:fldCharType="begin"/>
      </w:r>
      <w:r>
        <w:instrText xml:space="preserve"> HYPERLINK "http://cpro.baidu.com/cpro/ui/uijs.php?adclass=0&amp;app_id=0&amp;c=news&amp;cf=1001&amp;ch=0&amp;di=128&amp;fv=19&amp;is_app=0&amp;jk=ef545a0edc5d9931&amp;k=%D6%D0%D6%B0&amp;k0=%D6%D0%D6%B0&amp;kdi0=0&amp;luki=9&amp;mcpm=0&amp;n=10&amp;p=baidu&amp;q=haoshuduoduo_cpr&amp;rb=0&amp;rs=1&amp;seller_id=1&amp;sid=31995ddce5a54ef&amp;ssp2=1&amp;stid=9&amp;t=tpclicked3_hc&amp;td=1959052&amp;tu=u1959052&amp;u=http%3A%2F%2Fwww%2Eniubb%2Enet%2Farticle%2F581296%2D1%2F1%2F&amp;urlid=0" \t "_blank" </w:instrText>
      </w:r>
      <w:r>
        <w:fldChar w:fldCharType="separate"/>
      </w:r>
      <w:r>
        <w:rPr>
          <w:rFonts w:hint="eastAsia" w:ascii="仿宋" w:hAnsi="仿宋" w:eastAsia="仿宋" w:cs="仿宋_GB2312"/>
          <w:color w:val="000000" w:themeColor="text1"/>
          <w:sz w:val="32"/>
          <w:szCs w:val="32"/>
          <w14:textFill>
            <w14:solidFill>
              <w14:schemeClr w14:val="tx1"/>
            </w14:solidFill>
          </w14:textFill>
        </w:rPr>
        <w:t>中职</w:t>
      </w:r>
      <w:r>
        <w:rPr>
          <w:rFonts w:hint="eastAsia" w:ascii="仿宋" w:hAnsi="仿宋" w:eastAsia="仿宋" w:cs="仿宋_GB2312"/>
          <w:color w:val="000000" w:themeColor="text1"/>
          <w:sz w:val="32"/>
          <w:szCs w:val="32"/>
          <w14:textFill>
            <w14:solidFill>
              <w14:schemeClr w14:val="tx1"/>
            </w14:solidFill>
          </w14:textFill>
        </w:rPr>
        <w:fldChar w:fldCharType="end"/>
      </w:r>
      <w:r>
        <w:rPr>
          <w:rFonts w:hint="eastAsia" w:ascii="仿宋" w:hAnsi="仿宋" w:eastAsia="仿宋" w:cs="仿宋_GB2312"/>
          <w:color w:val="000000" w:themeColor="text1"/>
          <w:sz w:val="32"/>
          <w:szCs w:val="32"/>
          <w14:textFill>
            <w14:solidFill>
              <w14:schemeClr w14:val="tx1"/>
            </w14:solidFill>
          </w14:textFill>
        </w:rPr>
        <w:t>学生人人有能力创业的新观念。使中职学生牢固树立自主创业同样可以实现自身价值，创造辉煌人生的思想观念。</w:t>
      </w:r>
    </w:p>
    <w:p>
      <w:pPr>
        <w:rPr>
          <w:rFonts w:ascii="仿宋" w:hAnsi="仿宋" w:eastAsia="仿宋" w:cs="仿宋_GB2312"/>
          <w:b/>
          <w:color w:val="000000" w:themeColor="text1"/>
          <w:sz w:val="36"/>
          <w:szCs w:val="36"/>
          <w14:textFill>
            <w14:solidFill>
              <w14:schemeClr w14:val="tx1"/>
            </w14:solidFill>
          </w14:textFill>
        </w:rPr>
      </w:pPr>
      <w:r>
        <w:rPr>
          <w:rFonts w:hint="eastAsia" w:ascii="仿宋" w:hAnsi="仿宋" w:eastAsia="仿宋" w:cs="仿宋_GB2312"/>
          <w:b/>
          <w:color w:val="000000" w:themeColor="text1"/>
          <w:sz w:val="36"/>
          <w:szCs w:val="36"/>
          <w14:textFill>
            <w14:solidFill>
              <w14:schemeClr w14:val="tx1"/>
            </w14:solidFill>
          </w14:textFill>
        </w:rPr>
        <w:t>三、质量保障措施</w:t>
      </w:r>
    </w:p>
    <w:p>
      <w:pPr>
        <w:ind w:firstLine="643" w:firstLineChars="20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3.1专业动态调整</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_GB2312"/>
          <w:bCs/>
          <w:color w:val="000000" w:themeColor="text1"/>
          <w:sz w:val="32"/>
          <w:szCs w:val="32"/>
          <w14:textFill>
            <w14:solidFill>
              <w14:schemeClr w14:val="tx1"/>
            </w14:solidFill>
          </w14:textFill>
        </w:rPr>
        <w:t>我校共开设</w:t>
      </w:r>
      <w:r>
        <w:rPr>
          <w:rFonts w:hint="eastAsia" w:ascii="仿宋" w:hAnsi="仿宋" w:eastAsia="仿宋"/>
          <w:color w:val="000000" w:themeColor="text1"/>
          <w:sz w:val="32"/>
          <w:szCs w:val="32"/>
          <w14:textFill>
            <w14:solidFill>
              <w14:schemeClr w14:val="tx1"/>
            </w14:solidFill>
          </w14:textFill>
        </w:rPr>
        <w:t>电子技术应用、汽车运用与维修、新能源汽车装调与检修、工业机器人技术应用、计算机应用、电子商务等10余个专业。在校学生专业统计如图10。</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图10：</w:t>
      </w:r>
    </w:p>
    <w:p>
      <w:pPr>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ascii="仿宋" w:hAnsi="仿宋" w:eastAsia="仿宋"/>
          <w:color w:val="000000" w:themeColor="text1"/>
          <w:sz w:val="32"/>
          <w:szCs w:val="32"/>
          <w14:textFill>
            <w14:solidFill>
              <w14:schemeClr w14:val="tx1"/>
            </w14:solidFill>
          </w14:textFill>
        </w:rPr>
        <w:drawing>
          <wp:inline distT="0" distB="0" distL="0" distR="0">
            <wp:extent cx="5057775" cy="2743200"/>
            <wp:effectExtent l="4445" t="4445" r="5080"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适时开展专业调研，通过对企业和行业的调研，了解人才需求状况，通过对家长和学生的调研，了解就业和求职需求。通过调研优化专业结构，建立专业设置动态调整机制，做到了专业设置与区域社会经济发展需求契合，课程内容与岗位知识契合，提高了专业与当地产业的吻合度及贡献率。本年度暂停了工程造价和医疗设备安装与维修专业的招生，新增了新能源汽车装调与检修、工业机器人技术应用两个专业，招生人数分别为：64人和53人。</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针对技术快速变革和发展，为适应行业企业对人才技术素养的新要求，学校组织专业骨干教师紧密围绕技术变革，研究相关服务岗位、相关产品生产和维护技术的发展变化，结合其他大学和同类学校的相关变革，调整本校相关专业的课程设置和教学标准，更新教学内容，保证学生所学知识与技术需求不太落伍，不太滞后，减少学生就业后在企业的培养成本。本年度重点对发展变化较快的电子技术、计算机应用技术、汽车维修技术的课程设置和教学标准进行了调整，每个专业减少或增加了至少两门课程，对所有的专业课程的教学标准都进行了调整和论证。</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针对专业和课程的调整变化，为适应教学变革的需要，本年度共引进懂新技术的相关专业课新教师共15人，请校外专家来校在教师中开展新技术讲座共3次，请专家来校指导专业建设共2次，校内集中开展各种教学研究提高教师专业技术和教学能力的活动共30次。</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学校与四川信息职业技术学院、成都工业学院等院校建立了校校合作关系，开展专业建设咨助，学生通过到高校参观考察加深了对专业和新技术的深度认识，确定了专业学习方向和目标，坚定了专业技术信念。</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为了使学生能够升入理想中的本科院校继续深造，学校调整了教学策略，加强了基础学科的教学工作，为学生参加普通高考对口招生考试打下坚实基础。本年度学校组织各专业组和教研组认真研究对口高考大纲，修订了相关课程的教学标准。</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学校制定了校本教材开发、应用和更新制度，根据产业、职业和岗位变革产生的新需求，开发校本教材，适应新的教学需要。</w:t>
      </w:r>
    </w:p>
    <w:p>
      <w:pPr>
        <w:ind w:firstLine="643" w:firstLineChars="200"/>
        <w:rPr>
          <w:rFonts w:ascii="仿宋" w:hAnsi="仿宋" w:eastAsia="仿宋"/>
          <w:b/>
          <w:color w:val="000000" w:themeColor="text1"/>
          <w:sz w:val="32"/>
          <w:szCs w:val="32"/>
          <w14:textFill>
            <w14:solidFill>
              <w14:schemeClr w14:val="tx1"/>
            </w14:solidFill>
          </w14:textFill>
        </w:rPr>
      </w:pPr>
    </w:p>
    <w:p>
      <w:pPr>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3.2教育教学改革</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制定了实施性人才培养方案并进行滚动修订，根据国家和省指导性人才培养方案以及调研成果，构建以能力为本位、以职业实践为主线，以项目课程为主体的模块化专业课程体系；合理确定公共基础课和专业技能课学时比例，根据行业产业发展适时修订，我校在2020年秋季，将1+X教育教学融入我校课程设置。选用的教材必须符合社会主义市场经济建设、社会发展和科技进步对人才培养的需要，全面、准确地阐述本学科的基本理论、基本知识和基本技能。</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必须符合本专业人才培养目标及课程教学的要求，取材合适，深度适宜，符合认知规律，富有启发性，有利于激发学生学习兴趣，有利于学生知识、能力和素质的培养。我校严格按照并有严格的审批手续。</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大力加强专业建设，不断提升专业建设水平，各专业实现了教学、实训一体化，学生职业道德、职业精神培养与技术技能训练高度融合。积极创新专业课教学模式形成了以项目教学、案例教学等为主体的教学模式。广大教师普遍采用项目教学、案例教学、场景教学和模拟教学等多种教学方式进行教学，注意专业教学过程与生产过程的对接，注重教学过程实践性、开放性和职业性强。根据专业特点，积极开展汽修专业学徒制试点，探索和实施小组学习、合作学习和自主学习。</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积极创新专业课教学模式形成了以项目教学、案例教学等为主体的七种教学模式。广大教师普遍采用项目教学、案例教学、场景教学和模拟教学等多种教学方式进行教学，注意专业教学过程与生产过程的对接，注重教学过程实践性、开放性和职业性。根据专业特点，积极开展现代学徒制试点，进行小班化教学试点；探索和实施小组学习、合作学习和自主学习；因材施教，推行分层教学、走班制、导师制等教学改革，建立了困难学生学习困难帮助机制等。</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为汽修、会计、电子商务等专业购买了虚拟仿真实务训练系统，并建立了新能源汽车及工业机器人实训基地，有效地降低了实训成本，提高了实训效果。教师根据教学要求自主开发了一部分教学资源，分为公共基础课和专业技能课，内容包括PPT教案、实训项目库、教学案例、考试试题题库。</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教学质量保证制度》、《教学督导组加强教学质量监控与评价制定》、《教师教学质量考核与聘任办法》《学生评教制度》等一系列质量保证措施与制度的完善，为教学质量提供了有力的保障，通过建立校企合作长效机制，引进高素质高技能</w:t>
      </w:r>
      <w:r>
        <w:rPr>
          <w:rFonts w:ascii="仿宋" w:hAnsi="仿宋" w:eastAsia="仿宋"/>
          <w:color w:val="000000" w:themeColor="text1"/>
          <w:sz w:val="32"/>
          <w:szCs w:val="32"/>
          <w14:textFill>
            <w14:solidFill>
              <w14:schemeClr w14:val="tx1"/>
            </w14:solidFill>
          </w14:textFill>
        </w:rPr>
        <w:t>人才</w:t>
      </w:r>
      <w:r>
        <w:rPr>
          <w:rFonts w:hint="eastAsia" w:ascii="仿宋" w:hAnsi="仿宋" w:eastAsia="仿宋"/>
          <w:color w:val="000000" w:themeColor="text1"/>
          <w:sz w:val="32"/>
          <w:szCs w:val="32"/>
          <w14:textFill>
            <w14:solidFill>
              <w14:schemeClr w14:val="tx1"/>
            </w14:solidFill>
          </w14:textFill>
        </w:rPr>
        <w:t>，定期开展教师专业技术培训，实施订单式培养模式，加强教学改革，优化专业课程体系，改善实训设备，建立教学过程监控体系。</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我校为达到较好的技能教学效果，制定了教师出勤、教学评价、教学巡查、各学期实训项目教学计划，实训项目教学设计、实训实验教学检测等一系列监控体系，从教师的教态、教案、作业批改、学生对教师教学评议，实训教学安全，实训教学产品等全方位建设，狠抓落实。</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2019年5月我校组织第十五届校园技能大赛，11个大项16个小项总计参赛人数728名选手参赛，共计274名选手获奖，一等奖63名，二等奖101名，三等奖110名，团体奖10名，个人获奖率约37.6%。</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2019年12月我校参加南充市第八届学生技能大赛参赛的7个大项，项目获奖率71.4％。并获得团体一等奖、三等奖。（见表4）</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2020年我校有21名教师参加教师教学能力技赛，项目获奖率100％。（见表5）</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表4：</w:t>
      </w:r>
    </w:p>
    <w:p>
      <w:pPr>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2019年南充市第八届学生技能大赛我校获奖情况</w:t>
      </w:r>
    </w:p>
    <w:tbl>
      <w:tblPr>
        <w:tblStyle w:val="7"/>
        <w:tblW w:w="86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2"/>
        <w:gridCol w:w="300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参赛项目</w:t>
            </w:r>
          </w:p>
        </w:tc>
        <w:tc>
          <w:tcPr>
            <w:tcW w:w="3004"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获奖学生</w:t>
            </w:r>
          </w:p>
        </w:tc>
        <w:tc>
          <w:tcPr>
            <w:tcW w:w="1953"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732" w:type="dxa"/>
            <w:vMerge w:val="restart"/>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单片机控制装置安装与调试</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徐洪平</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732" w:type="dxa"/>
            <w:vMerge w:val="continue"/>
          </w:tcPr>
          <w:p>
            <w:pPr>
              <w:jc w:val="center"/>
              <w:rPr>
                <w:rFonts w:ascii="仿宋" w:hAnsi="仿宋" w:eastAsia="仿宋"/>
                <w:b/>
                <w:color w:val="000000" w:themeColor="text1"/>
                <w:sz w:val="28"/>
                <w:szCs w:val="28"/>
                <w14:textFill>
                  <w14:solidFill>
                    <w14:schemeClr w14:val="tx1"/>
                  </w14:solidFill>
                </w14:textFill>
              </w:rPr>
            </w:pP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陈小平</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电子产品装调与应用</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吴佳霖</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vMerge w:val="restart"/>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网页制作</w:t>
            </w:r>
          </w:p>
        </w:tc>
        <w:tc>
          <w:tcPr>
            <w:tcW w:w="3004" w:type="dxa"/>
          </w:tcPr>
          <w:p>
            <w:pPr>
              <w:jc w:val="center"/>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张文星</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vMerge w:val="continue"/>
          </w:tcPr>
          <w:p>
            <w:pPr>
              <w:jc w:val="center"/>
              <w:rPr>
                <w:rFonts w:ascii="仿宋" w:hAnsi="仿宋" w:eastAsia="仿宋"/>
                <w:b/>
                <w:color w:val="000000" w:themeColor="text1"/>
                <w:sz w:val="28"/>
                <w:szCs w:val="28"/>
                <w14:textFill>
                  <w14:solidFill>
                    <w14:schemeClr w14:val="tx1"/>
                  </w14:solidFill>
                </w14:textFill>
              </w:rPr>
            </w:pP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郑慧</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vMerge w:val="continue"/>
          </w:tcPr>
          <w:p>
            <w:pPr>
              <w:jc w:val="center"/>
              <w:rPr>
                <w:rFonts w:ascii="仿宋" w:hAnsi="仿宋" w:eastAsia="仿宋"/>
                <w:b/>
                <w:color w:val="000000" w:themeColor="text1"/>
                <w:sz w:val="28"/>
                <w:szCs w:val="28"/>
                <w14:textFill>
                  <w14:solidFill>
                    <w14:schemeClr w14:val="tx1"/>
                  </w14:solidFill>
                </w14:textFill>
              </w:rPr>
            </w:pP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袁思洁</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办公自动化</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邓云心、邓杰</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平面设计</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杨松柏</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732" w:type="dxa"/>
            <w:vMerge w:val="restart"/>
          </w:tcPr>
          <w:p>
            <w:pPr>
              <w:ind w:firstLine="1405" w:firstLineChars="5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团体奖</w:t>
            </w:r>
          </w:p>
          <w:p>
            <w:pPr>
              <w:jc w:val="center"/>
              <w:rPr>
                <w:rFonts w:ascii="仿宋" w:hAnsi="仿宋" w:eastAsia="仿宋"/>
                <w:color w:val="000000" w:themeColor="text1"/>
                <w:sz w:val="28"/>
                <w:szCs w:val="28"/>
                <w14:textFill>
                  <w14:solidFill>
                    <w14:schemeClr w14:val="tx1"/>
                  </w14:solidFill>
                </w14:textFill>
              </w:rPr>
            </w:pPr>
          </w:p>
        </w:tc>
        <w:tc>
          <w:tcPr>
            <w:tcW w:w="3004" w:type="dxa"/>
          </w:tcPr>
          <w:p>
            <w:pPr>
              <w:jc w:val="cente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计算机应用</w:t>
            </w:r>
          </w:p>
        </w:tc>
        <w:tc>
          <w:tcPr>
            <w:tcW w:w="1953" w:type="dxa"/>
          </w:tcPr>
          <w:p>
            <w:pPr>
              <w:jc w:val="cente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732" w:type="dxa"/>
            <w:vMerge w:val="continue"/>
          </w:tcPr>
          <w:p>
            <w:pPr>
              <w:jc w:val="center"/>
              <w:rPr>
                <w:color w:val="000000" w:themeColor="text1"/>
                <w14:textFill>
                  <w14:solidFill>
                    <w14:schemeClr w14:val="tx1"/>
                  </w14:solidFill>
                </w14:textFill>
              </w:rPr>
            </w:pPr>
          </w:p>
        </w:tc>
        <w:tc>
          <w:tcPr>
            <w:tcW w:w="3004" w:type="dxa"/>
          </w:tcPr>
          <w:p>
            <w:pPr>
              <w:jc w:val="cente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电子技术应用</w:t>
            </w:r>
          </w:p>
        </w:tc>
        <w:tc>
          <w:tcPr>
            <w:tcW w:w="1953" w:type="dxa"/>
          </w:tcPr>
          <w:p>
            <w:pPr>
              <w:jc w:val="cente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三等奖</w:t>
            </w:r>
          </w:p>
        </w:tc>
      </w:tr>
    </w:tbl>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表5：</w:t>
      </w:r>
    </w:p>
    <w:p>
      <w:pPr>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2020年教师教学技能大赛及论文评选我校获奖情况</w:t>
      </w:r>
    </w:p>
    <w:tbl>
      <w:tblPr>
        <w:tblStyle w:val="7"/>
        <w:tblW w:w="86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2"/>
        <w:gridCol w:w="300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参赛项目</w:t>
            </w:r>
          </w:p>
        </w:tc>
        <w:tc>
          <w:tcPr>
            <w:tcW w:w="3004"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获奖教师</w:t>
            </w:r>
          </w:p>
        </w:tc>
        <w:tc>
          <w:tcPr>
            <w:tcW w:w="1953"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732" w:type="dxa"/>
            <w:vAlign w:val="center"/>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语文组</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李明娟、王敏、余晨曦、</w:t>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王艺霖</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732" w:type="dxa"/>
            <w:vAlign w:val="center"/>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英语组</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袁萍、孙文姣、何咏竹、</w:t>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安燕玲</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vAlign w:val="center"/>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电子技术应用</w:t>
            </w:r>
          </w:p>
        </w:tc>
        <w:tc>
          <w:tcPr>
            <w:tcW w:w="3004" w:type="dxa"/>
          </w:tcPr>
          <w:p>
            <w:pPr>
              <w:jc w:val="center"/>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万能、林小红、油明喜</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vAlign w:val="center"/>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汽修运用与维修</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袁伟、陈平、陈茂兴、王丹</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vAlign w:val="center"/>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汽修运用与维修</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杨平、贾益评、杨洪亮、李波</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形体展示</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刘小梅、陈敏</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732" w:type="dxa"/>
          </w:tcPr>
          <w:p>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论文评比</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李明娟</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省级一等奖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732"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论文评比</w:t>
            </w:r>
          </w:p>
        </w:tc>
        <w:tc>
          <w:tcPr>
            <w:tcW w:w="3004"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袁伟、马天军</w:t>
            </w:r>
          </w:p>
        </w:tc>
        <w:tc>
          <w:tcPr>
            <w:tcW w:w="1953" w:type="dxa"/>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市级三等奖</w:t>
            </w:r>
          </w:p>
        </w:tc>
      </w:tr>
    </w:tbl>
    <w:p>
      <w:pPr>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3.3教师培养培训</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教师队伍是提高学校办学水平和提升人才培养质量的关键</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加强教师队伍建设是中等职业教育发展最重要的基础工程。2020年，我校采用“内引外培”的模式培养教师，通过请进来、走出去、全方位、多渠道地引进教师，2020年送培8人次，其中6位教师参加了1+X推动培训，2人参加了成都工业学院自考、成考培训，4位省级名师工作室成员（庞子靓、吴从均、杨俊梅、杨大平）参加了名师工作室培训，校内每周进行一次教师教研学习提升，有效推动了“双师型”教师队伍建设，对我校教育教学质量的提高起到了至关重要的作用。</w:t>
      </w:r>
    </w:p>
    <w:p>
      <w:pPr>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3.4规范管理情况</w:t>
      </w:r>
    </w:p>
    <w:p>
      <w:pPr>
        <w:ind w:firstLine="640" w:firstLineChars="200"/>
        <w:rPr>
          <w:rFonts w:ascii="仿宋" w:hAnsi="仿宋" w:eastAsia="仿宋" w:cs="仿宋_GB2312"/>
          <w:color w:val="000000" w:themeColor="text1"/>
          <w:kern w:val="0"/>
          <w:sz w:val="32"/>
          <w:szCs w:val="32"/>
          <w:shd w:val="clear" w:color="auto" w:fill="FFFFFF"/>
          <w14:textFill>
            <w14:solidFill>
              <w14:schemeClr w14:val="tx1"/>
            </w14:solidFill>
          </w14:textFill>
        </w:rPr>
      </w:pP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教学管理学校制定长期、短期</w:t>
      </w:r>
      <w:r>
        <w:fldChar w:fldCharType="begin"/>
      </w:r>
      <w:r>
        <w:instrText xml:space="preserve"> HYPERLINK "https://baike.baidu.com/item/%E6%95%99%E5%AD%A6%E5%B7%A5%E4%BD%9C%E8%AE%A1%E5%88%92" \t "https://baike.baidu.com/item/%E6%95%99%E5%AD%A6%E7%AE%A1%E7%90%86/_blank" </w:instrText>
      </w:r>
      <w:r>
        <w:fldChar w:fldCharType="separate"/>
      </w:r>
      <w:r>
        <w:rPr>
          <w:rStyle w:val="10"/>
          <w:rFonts w:hint="eastAsia" w:ascii="仿宋" w:hAnsi="仿宋" w:eastAsia="仿宋" w:cs="仿宋_GB2312"/>
          <w:color w:val="000000" w:themeColor="text1"/>
          <w:sz w:val="32"/>
          <w:szCs w:val="32"/>
          <w:shd w:val="clear" w:color="auto" w:fill="FFFFFF"/>
          <w14:textFill>
            <w14:solidFill>
              <w14:schemeClr w14:val="tx1"/>
            </w14:solidFill>
          </w14:textFill>
        </w:rPr>
        <w:t>教学工作计划</w:t>
      </w:r>
      <w:r>
        <w:rPr>
          <w:rStyle w:val="10"/>
          <w:rFonts w:hint="eastAsia" w:ascii="仿宋" w:hAnsi="仿宋" w:eastAsia="仿宋" w:cs="仿宋_GB2312"/>
          <w:color w:val="000000" w:themeColor="text1"/>
          <w:sz w:val="32"/>
          <w:szCs w:val="32"/>
          <w:shd w:val="clear" w:color="auto" w:fill="FFFFFF"/>
          <w14:textFill>
            <w14:solidFill>
              <w14:schemeClr w14:val="tx1"/>
            </w14:solidFill>
          </w14:textFill>
        </w:rPr>
        <w:fldChar w:fldCharType="end"/>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明确教学工作目标，保证学校教学工作有计划、有步骤、有条不紊地运转。设立有教学管理机构和教学管理质量评价系统，明确职责范围，发挥管理机构及人员的作用，加强教师的教学质量和学生的学习质量管理。组织开展教学研究活动，促进教学工作改革。深入教学第一线，加强检查指导，及时总结经验，提高教学质量，加强教务行政管理工作。</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学校办学思想端正，全面贯彻国家的教育方针，认真实施素质教育。树立正确的教育观和质量观，面向全体学生，促进学生全面发展。坚持依法治校，遵守教育法律法规，不乱办学，不乱收费，不举办“校中校”。建立健全学校各项规章制度，实行校长负责制，完善全员聘任制、岗位责任制。坚持民主管理学校，推行校务公开。</w:t>
      </w:r>
      <w:r>
        <w:rPr>
          <w:rFonts w:hint="eastAsia" w:ascii="仿宋" w:hAnsi="仿宋" w:eastAsia="仿宋" w:cs="仿宋_GB2312"/>
          <w:color w:val="000000" w:themeColor="text1"/>
          <w:sz w:val="32"/>
          <w:szCs w:val="32"/>
          <w14:textFill>
            <w14:solidFill>
              <w14:schemeClr w14:val="tx1"/>
            </w14:solidFill>
          </w14:textFill>
        </w:rPr>
        <w:t>学校重视管理队伍的建设，在选拔处室人员的工作中，引进竞争机制，有意识的锻炼和培养，让他们明确管理人员共工作职责，掌握工作方法，逐步形成拥有自己特色的管理方式，提升自己的管理水平。</w:t>
      </w:r>
    </w:p>
    <w:p>
      <w:pPr>
        <w:ind w:firstLine="640" w:firstLineChars="200"/>
        <w:rPr>
          <w:rFonts w:ascii="仿宋" w:hAnsi="仿宋" w:eastAsia="仿宋" w:cs="仿宋_GB2312"/>
          <w:bCs/>
          <w:color w:val="000000" w:themeColor="text1"/>
          <w:kern w:val="0"/>
          <w:sz w:val="32"/>
          <w:szCs w:val="32"/>
          <w:shd w:val="clear" w:color="auto" w:fill="FFFFFF"/>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校园管理</w:t>
      </w:r>
      <w:r>
        <w:rPr>
          <w:rFonts w:hint="eastAsia" w:ascii="仿宋" w:hAnsi="仿宋" w:eastAsia="仿宋" w:cs="仿宋_GB2312"/>
          <w:bCs/>
          <w:color w:val="000000" w:themeColor="text1"/>
          <w:kern w:val="0"/>
          <w:sz w:val="32"/>
          <w:szCs w:val="32"/>
          <w:shd w:val="clear" w:color="auto" w:fill="FFFFFF"/>
          <w14:textFill>
            <w14:solidFill>
              <w14:schemeClr w14:val="tx1"/>
            </w14:solidFill>
          </w14:textFill>
        </w:rPr>
        <w:t>建设平安、文明、和谐校园。优化校园环境，力求净化、绿化、美化、人文化。校内车辆停放整齐，地面无杂物，墙面无污损；环境布置富有文化内涵，体现教育功能。学校建设了智慧校园系统，门禁系统，人脸识别等，保障了师生进出校园安全。创设线上办公、教学分享、工单处理、学生请假、教师评教等功能，师生使用率达到100%。各班级开通了网络、多媒体教学，利用现代化信息技术进行教育教学，提高了学生的学习兴趣和效果。</w:t>
      </w:r>
    </w:p>
    <w:p>
      <w:pPr>
        <w:ind w:firstLine="640" w:firstLineChars="200"/>
        <w:rPr>
          <w:rFonts w:ascii="仿宋" w:hAnsi="仿宋" w:eastAsia="仿宋" w:cs="仿宋_GB2312"/>
          <w:bCs/>
          <w:color w:val="000000" w:themeColor="text1"/>
          <w:kern w:val="0"/>
          <w:sz w:val="32"/>
          <w:szCs w:val="32"/>
          <w:shd w:val="clear" w:color="auto" w:fill="FFFFFF"/>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教师管理</w:t>
      </w:r>
      <w:r>
        <w:rPr>
          <w:rFonts w:hint="eastAsia" w:ascii="仿宋" w:hAnsi="仿宋" w:eastAsia="仿宋" w:cs="仿宋_GB2312"/>
          <w:bCs/>
          <w:color w:val="000000" w:themeColor="text1"/>
          <w:kern w:val="0"/>
          <w:sz w:val="32"/>
          <w:szCs w:val="32"/>
          <w:shd w:val="clear" w:color="auto" w:fill="FFFFFF"/>
          <w14:textFill>
            <w14:solidFill>
              <w14:schemeClr w14:val="tx1"/>
            </w14:solidFill>
          </w14:textFill>
        </w:rPr>
        <w:t>组织教师进修，开展校本培训和教研活动，建立集体备课制度，公开课讲评制度。</w:t>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加强师德师风建设，教育教师遵章守纪，爱岗敬业，教书育人，为人师表；认真备课、上课、布置批改作业、辅导学生和组织课外活动；尊重学生人格，不歧视、侮辱、体罚和变相体罚学生，维护学生的合法权益；不搞有偿家教。</w:t>
      </w:r>
    </w:p>
    <w:p>
      <w:pPr>
        <w:ind w:firstLine="640" w:firstLineChars="200"/>
        <w:rPr>
          <w:rFonts w:ascii="仿宋" w:hAnsi="仿宋" w:eastAsia="仿宋" w:cs="仿宋_GB2312"/>
          <w:color w:val="000000" w:themeColor="text1"/>
          <w:kern w:val="0"/>
          <w:sz w:val="32"/>
          <w:szCs w:val="32"/>
          <w:shd w:val="clear" w:color="auto" w:fill="FFFFFF"/>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学生管理</w:t>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德育为首。开展民族精神教育、理想信念教育、公民道德教育、法律纪律教育、心理健康教育。规范学生行为。教育学生自觉遵守《中等职业学校学生守则》和《中等职业学校日常行为规范》，培养学生良好的行为习惯。坚持全员育人，学校有健全的党团和共青团组织，有班主任管理制度，有与家庭、社会联系与合作的制度。</w:t>
      </w:r>
    </w:p>
    <w:p>
      <w:pPr>
        <w:ind w:firstLine="640" w:firstLineChars="200"/>
        <w:rPr>
          <w:rFonts w:ascii="仿宋" w:hAnsi="仿宋" w:eastAsia="仿宋" w:cs="仿宋_GB2312"/>
          <w:color w:val="000000" w:themeColor="text1"/>
          <w:kern w:val="0"/>
          <w:sz w:val="32"/>
          <w:szCs w:val="32"/>
          <w:shd w:val="clear" w:color="auto" w:fill="FFFFFF"/>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教学科研管理</w:t>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严格按规定开齐开足课程，创造条件开设地方课程和校本课程。有秩序安排教育教学工作，不随意停课，不组织学生参加商业性的庆典、演出活动。上好体育课、艺术课，保证学生每天有1小时的体育活动时间。引导学生自主、合作、探究学习，注重培养学生的独立思考能力、创新能力和实践能力，发展学生的个性特长。建立科学的学校评价制度，评价学生，立足于促进学生的全面发展。健全校本教研制度，研究教育教学中的重点、难点问题，促进教育质量的提高。</w:t>
      </w:r>
    </w:p>
    <w:p>
      <w:pPr>
        <w:ind w:firstLine="640" w:firstLineChars="200"/>
        <w:rPr>
          <w:rFonts w:ascii="仿宋" w:hAnsi="仿宋" w:eastAsia="仿宋" w:cs="仿宋_GB2312"/>
          <w:color w:val="000000" w:themeColor="text1"/>
          <w:kern w:val="0"/>
          <w:sz w:val="32"/>
          <w:szCs w:val="32"/>
          <w:shd w:val="clear" w:color="auto" w:fill="FFFFFF"/>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安全管理</w:t>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建立健全安全管理制度，对学校安全保卫人员定期培训学习，及时整治学校各项安全隐患，预防发生事故发生。建立校园突发事件预警机制，落实各项应急措施。加强安全教育，增强师生的安全防范意识和自护自救能力。定期对校舍、设施进行安全检查，防火、防盗、防触电、防滋扰、防中毒、防意外伤害等措施落实到位。加强门卫管理，禁止无关人员和校外机动车辆进入校园。组织学生户外活动有安全应急措施，并安排专人负责。学校消防设施设备完善，校园、各楼层、寝室、教室等监控覆盖率98%。</w:t>
      </w:r>
    </w:p>
    <w:p>
      <w:pPr>
        <w:ind w:firstLine="640" w:firstLineChars="200"/>
        <w:rPr>
          <w:rFonts w:ascii="仿宋" w:hAnsi="仿宋" w:eastAsia="仿宋" w:cs="仿宋_GB2312"/>
          <w:color w:val="000000" w:themeColor="text1"/>
          <w:kern w:val="0"/>
          <w:sz w:val="32"/>
          <w:szCs w:val="32"/>
          <w:shd w:val="clear" w:color="auto" w:fill="FFFFFF"/>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后勤管理</w:t>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坚持服务育人、管理育人。制定食堂卫生制度和采购验收制度，确保食品卫生安全；建立学生宿舍值日制度，保证整洁卫生；建立宿舍管理制度，坚持夜间值班、巡查；建立群体性传染病、食物中毒应急制度，及时采取隔离、治疗措施。建立校舍定期检查、维修制度，及时消除危房。图书、实验仪器、体育器材、计算机设备等分类登记造册，定期清查、检修、维护。坚持勤俭办学，反对铺张浪费。</w:t>
      </w:r>
    </w:p>
    <w:p>
      <w:pPr>
        <w:ind w:firstLine="640" w:firstLineChars="200"/>
        <w:jc w:val="left"/>
        <w:rPr>
          <w:rFonts w:ascii="仿宋" w:hAnsi="仿宋" w:eastAsia="仿宋" w:cs="仿宋_GB2312"/>
          <w:bCs/>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 xml:space="preserve"> 档</w:t>
      </w:r>
      <w:r>
        <w:rPr>
          <w:rFonts w:ascii="仿宋" w:hAnsi="仿宋" w:eastAsia="仿宋" w:cs="仿宋_GB2312"/>
          <w:bCs/>
          <w:color w:val="000000" w:themeColor="text1"/>
          <w:sz w:val="32"/>
          <w:szCs w:val="32"/>
          <w:shd w:val="clear" w:color="auto" w:fill="FFFFFF"/>
          <w14:textFill>
            <w14:solidFill>
              <w14:schemeClr w14:val="tx1"/>
            </w14:solidFill>
          </w14:textFill>
        </w:rPr>
        <w:t>案管理建有档案资料室，健全档案管理制度。建立学校行政、教育教学、教师业务、学生学籍、师生健康、人事、财务、固定资产、荣誉实物等各类档案，保管好、使用好档案资料</w:t>
      </w:r>
      <w:bookmarkStart w:id="0" w:name="sub4037599_9"/>
      <w:bookmarkEnd w:id="0"/>
      <w:bookmarkStart w:id="1" w:name="附件：中小学校园管理等十项基本管理制度"/>
      <w:bookmarkEnd w:id="1"/>
      <w:bookmarkStart w:id="2" w:name="9"/>
      <w:bookmarkEnd w:id="2"/>
      <w:r>
        <w:rPr>
          <w:rFonts w:hint="eastAsia" w:ascii="仿宋" w:hAnsi="仿宋" w:eastAsia="仿宋" w:cs="仿宋_GB2312"/>
          <w:bCs/>
          <w:color w:val="000000" w:themeColor="text1"/>
          <w:sz w:val="32"/>
          <w:szCs w:val="32"/>
          <w:shd w:val="clear" w:color="auto" w:fill="FFFFFF"/>
          <w14:textFill>
            <w14:solidFill>
              <w14:schemeClr w14:val="tx1"/>
            </w14:solidFill>
          </w14:textFill>
        </w:rPr>
        <w:t>。</w:t>
      </w:r>
    </w:p>
    <w:p>
      <w:pPr>
        <w:ind w:firstLine="640" w:firstLineChars="200"/>
        <w:jc w:val="left"/>
        <w:rPr>
          <w:rFonts w:ascii="仿宋" w:hAnsi="仿宋" w:eastAsia="仿宋" w:cs="仿宋_GB2312"/>
          <w:color w:val="000000" w:themeColor="text1"/>
          <w:sz w:val="32"/>
          <w:szCs w:val="32"/>
          <w14:textFill>
            <w14:solidFill>
              <w14:schemeClr w14:val="tx1"/>
            </w14:solidFill>
          </w14:textFill>
        </w:rPr>
      </w:pPr>
      <w:r>
        <w:rPr>
          <w:rFonts w:ascii="仿宋" w:hAnsi="仿宋" w:eastAsia="仿宋" w:cs="仿宋_GB2312"/>
          <w:bCs/>
          <w:color w:val="000000" w:themeColor="text1"/>
          <w:sz w:val="32"/>
          <w:szCs w:val="32"/>
          <w:shd w:val="clear" w:color="auto" w:fill="FFFFFF"/>
          <w14:textFill>
            <w14:solidFill>
              <w14:schemeClr w14:val="tx1"/>
            </w14:solidFill>
          </w14:textFill>
        </w:rPr>
        <w:t>财务管理贯彻执行中国共产党和国家的财政经济方针、</w:t>
      </w:r>
      <w:r>
        <w:fldChar w:fldCharType="begin"/>
      </w:r>
      <w:r>
        <w:instrText xml:space="preserve"> HYPERLINK "https://baike.baidu.com/item/%E6%94%BF%E7%AD%96/5575422" \t "https://baike.baidu.com/item/%E5%AD%A6%E6%A0%A1%E8%B4%A2%E5%8A%A1%E7%AE%A1%E7%90%86/_blank" </w:instrText>
      </w:r>
      <w:r>
        <w:fldChar w:fldCharType="separate"/>
      </w:r>
      <w:r>
        <w:rPr>
          <w:rStyle w:val="10"/>
          <w:rFonts w:ascii="仿宋" w:hAnsi="仿宋" w:eastAsia="仿宋" w:cs="仿宋_GB2312"/>
          <w:bCs/>
          <w:color w:val="000000" w:themeColor="text1"/>
          <w:sz w:val="32"/>
          <w:szCs w:val="32"/>
          <w:shd w:val="clear" w:color="auto" w:fill="FFFFFF"/>
          <w14:textFill>
            <w14:solidFill>
              <w14:schemeClr w14:val="tx1"/>
            </w14:solidFill>
          </w14:textFill>
        </w:rPr>
        <w:t>政策</w:t>
      </w:r>
      <w:r>
        <w:rPr>
          <w:rStyle w:val="10"/>
          <w:rFonts w:ascii="仿宋" w:hAnsi="仿宋" w:eastAsia="仿宋" w:cs="仿宋_GB2312"/>
          <w:bCs/>
          <w:color w:val="000000" w:themeColor="text1"/>
          <w:sz w:val="32"/>
          <w:szCs w:val="32"/>
          <w:shd w:val="clear" w:color="auto" w:fill="FFFFFF"/>
          <w14:textFill>
            <w14:solidFill>
              <w14:schemeClr w14:val="tx1"/>
            </w14:solidFill>
          </w14:textFill>
        </w:rPr>
        <w:fldChar w:fldCharType="end"/>
      </w:r>
      <w:r>
        <w:rPr>
          <w:rFonts w:ascii="仿宋" w:hAnsi="仿宋" w:eastAsia="仿宋" w:cs="仿宋_GB2312"/>
          <w:bCs/>
          <w:color w:val="000000" w:themeColor="text1"/>
          <w:sz w:val="32"/>
          <w:szCs w:val="32"/>
          <w:shd w:val="clear" w:color="auto" w:fill="FFFFFF"/>
          <w14:textFill>
            <w14:solidFill>
              <w14:schemeClr w14:val="tx1"/>
            </w14:solidFill>
          </w14:textFill>
        </w:rPr>
        <w:t>、法令，维护财政经济纪律，保护</w:t>
      </w:r>
      <w:r>
        <w:fldChar w:fldCharType="begin"/>
      </w:r>
      <w:r>
        <w:instrText xml:space="preserve"> HYPERLINK "https://baike.baidu.com/item/%E5%85%AC%E5%85%B1%E8%B4%A2%E4%BA%A7" \t "https://baike.baidu.com/item/%E5%AD%A6%E6%A0%A1%E8%B4%A2%E5%8A%A1%E7%AE%A1%E7%90%86/_blank" </w:instrText>
      </w:r>
      <w:r>
        <w:fldChar w:fldCharType="separate"/>
      </w:r>
      <w:r>
        <w:rPr>
          <w:rStyle w:val="10"/>
          <w:rFonts w:ascii="仿宋" w:hAnsi="仿宋" w:eastAsia="仿宋" w:cs="仿宋_GB2312"/>
          <w:bCs/>
          <w:color w:val="000000" w:themeColor="text1"/>
          <w:sz w:val="32"/>
          <w:szCs w:val="32"/>
          <w:shd w:val="clear" w:color="auto" w:fill="FFFFFF"/>
          <w14:textFill>
            <w14:solidFill>
              <w14:schemeClr w14:val="tx1"/>
            </w14:solidFill>
          </w14:textFill>
        </w:rPr>
        <w:t>公共财产</w:t>
      </w:r>
      <w:r>
        <w:rPr>
          <w:rStyle w:val="10"/>
          <w:rFonts w:ascii="仿宋" w:hAnsi="仿宋" w:eastAsia="仿宋" w:cs="仿宋_GB2312"/>
          <w:bCs/>
          <w:color w:val="000000" w:themeColor="text1"/>
          <w:sz w:val="32"/>
          <w:szCs w:val="32"/>
          <w:shd w:val="clear" w:color="auto" w:fill="FFFFFF"/>
          <w14:textFill>
            <w14:solidFill>
              <w14:schemeClr w14:val="tx1"/>
            </w14:solidFill>
          </w14:textFill>
        </w:rPr>
        <w:fldChar w:fldCharType="end"/>
      </w:r>
      <w:r>
        <w:rPr>
          <w:rFonts w:ascii="仿宋" w:hAnsi="仿宋" w:eastAsia="仿宋" w:cs="仿宋_GB2312"/>
          <w:bCs/>
          <w:color w:val="000000" w:themeColor="text1"/>
          <w:sz w:val="32"/>
          <w:szCs w:val="32"/>
          <w:shd w:val="clear" w:color="auto" w:fill="FFFFFF"/>
          <w14:textFill>
            <w14:solidFill>
              <w14:schemeClr w14:val="tx1"/>
            </w14:solidFill>
          </w14:textFill>
        </w:rPr>
        <w:t>的安全。根据上级规定和学校具体情况，编制学校年度预算或计划，年终作出</w:t>
      </w:r>
      <w:r>
        <w:rPr>
          <w:rFonts w:hint="eastAsia" w:ascii="仿宋" w:hAnsi="仿宋" w:eastAsia="仿宋" w:cs="仿宋_GB2312"/>
          <w:bCs/>
          <w:color w:val="000000" w:themeColor="text1"/>
          <w:sz w:val="32"/>
          <w:szCs w:val="32"/>
          <w:shd w:val="clear" w:color="auto" w:fill="FFFFFF"/>
          <w14:textFill>
            <w14:solidFill>
              <w14:schemeClr w14:val="tx1"/>
            </w14:solidFill>
          </w14:textFill>
        </w:rPr>
        <w:t>结</w:t>
      </w:r>
      <w:r>
        <w:rPr>
          <w:rFonts w:ascii="仿宋" w:hAnsi="仿宋" w:eastAsia="仿宋" w:cs="仿宋_GB2312"/>
          <w:bCs/>
          <w:color w:val="000000" w:themeColor="text1"/>
          <w:sz w:val="32"/>
          <w:szCs w:val="32"/>
          <w:shd w:val="clear" w:color="auto" w:fill="FFFFFF"/>
          <w14:textFill>
            <w14:solidFill>
              <w14:schemeClr w14:val="tx1"/>
            </w14:solidFill>
          </w14:textFill>
        </w:rPr>
        <w:t>算。拟定学校的财务规章制度</w:t>
      </w:r>
      <w:r>
        <w:rPr>
          <w:rFonts w:hint="eastAsia" w:ascii="仿宋" w:hAnsi="仿宋" w:eastAsia="仿宋" w:cs="仿宋_GB2312"/>
          <w:bCs/>
          <w:color w:val="000000" w:themeColor="text1"/>
          <w:sz w:val="32"/>
          <w:szCs w:val="32"/>
          <w:shd w:val="clear" w:color="auto" w:fill="FFFFFF"/>
          <w14:textFill>
            <w14:solidFill>
              <w14:schemeClr w14:val="tx1"/>
            </w14:solidFill>
          </w14:textFill>
        </w:rPr>
        <w:t>，</w:t>
      </w:r>
      <w:r>
        <w:rPr>
          <w:rFonts w:ascii="仿宋" w:hAnsi="仿宋" w:eastAsia="仿宋" w:cs="仿宋_GB2312"/>
          <w:bCs/>
          <w:color w:val="000000" w:themeColor="text1"/>
          <w:sz w:val="32"/>
          <w:szCs w:val="32"/>
          <w:shd w:val="clear" w:color="auto" w:fill="FFFFFF"/>
          <w14:textFill>
            <w14:solidFill>
              <w14:schemeClr w14:val="tx1"/>
            </w14:solidFill>
          </w14:textFill>
        </w:rPr>
        <w:t>监督、检查学校各项资金、财产的管理和计划执行情况。</w:t>
      </w:r>
      <w:r>
        <w:rPr>
          <w:rFonts w:hint="eastAsia" w:ascii="仿宋" w:hAnsi="仿宋" w:eastAsia="仿宋" w:cs="仿宋_GB2312"/>
          <w:color w:val="000000" w:themeColor="text1"/>
          <w:kern w:val="0"/>
          <w:sz w:val="32"/>
          <w:szCs w:val="32"/>
          <w:shd w:val="clear" w:color="auto" w:fill="FFFFFF"/>
          <w14:textFill>
            <w14:solidFill>
              <w14:schemeClr w14:val="tx1"/>
            </w14:solidFill>
          </w14:textFill>
        </w:rPr>
        <w:t>建立健全学校财产管理制度，民主理财，财务公开。</w:t>
      </w:r>
      <w:r>
        <w:rPr>
          <w:rFonts w:ascii="仿宋" w:hAnsi="仿宋" w:eastAsia="仿宋" w:cs="仿宋_GB2312"/>
          <w:bCs/>
          <w:color w:val="000000" w:themeColor="text1"/>
          <w:sz w:val="32"/>
          <w:szCs w:val="32"/>
          <w:shd w:val="clear" w:color="auto" w:fill="FFFFFF"/>
          <w14:textFill>
            <w14:solidFill>
              <w14:schemeClr w14:val="tx1"/>
            </w14:solidFill>
          </w14:textFill>
        </w:rPr>
        <w:t>做好记帐、</w:t>
      </w:r>
      <w:r>
        <w:rPr>
          <w:rFonts w:hint="eastAsia" w:ascii="仿宋" w:hAnsi="仿宋" w:eastAsia="仿宋" w:cs="仿宋_GB2312"/>
          <w:bCs/>
          <w:color w:val="000000" w:themeColor="text1"/>
          <w:sz w:val="32"/>
          <w:szCs w:val="32"/>
          <w:shd w:val="clear" w:color="auto" w:fill="FFFFFF"/>
          <w14:textFill>
            <w14:solidFill>
              <w14:schemeClr w14:val="tx1"/>
            </w14:solidFill>
          </w14:textFill>
        </w:rPr>
        <w:t>算</w:t>
      </w:r>
      <w:r>
        <w:rPr>
          <w:rFonts w:ascii="仿宋" w:hAnsi="仿宋" w:eastAsia="仿宋" w:cs="仿宋_GB2312"/>
          <w:bCs/>
          <w:color w:val="000000" w:themeColor="text1"/>
          <w:sz w:val="32"/>
          <w:szCs w:val="32"/>
          <w:shd w:val="clear" w:color="auto" w:fill="FFFFFF"/>
          <w14:textFill>
            <w14:solidFill>
              <w14:schemeClr w14:val="tx1"/>
            </w14:solidFill>
          </w14:textFill>
        </w:rPr>
        <w:t>帐、</w:t>
      </w:r>
      <w:r>
        <w:fldChar w:fldCharType="begin"/>
      </w:r>
      <w:r>
        <w:instrText xml:space="preserve"> HYPERLINK "https://baike.baidu.com/item/%E6%8A%A5%E5%B8%90" \t "https://baike.baidu.com/item/%E5%AD%A6%E6%A0%A1%E8%B4%A2%E5%8A%A1%E7%AE%A1%E7%90%86/_blank" </w:instrText>
      </w:r>
      <w:r>
        <w:fldChar w:fldCharType="separate"/>
      </w:r>
      <w:r>
        <w:rPr>
          <w:rStyle w:val="10"/>
          <w:rFonts w:ascii="仿宋" w:hAnsi="仿宋" w:eastAsia="仿宋" w:cs="仿宋_GB2312"/>
          <w:bCs/>
          <w:color w:val="000000" w:themeColor="text1"/>
          <w:sz w:val="32"/>
          <w:szCs w:val="32"/>
          <w:shd w:val="clear" w:color="auto" w:fill="FFFFFF"/>
          <w14:textFill>
            <w14:solidFill>
              <w14:schemeClr w14:val="tx1"/>
            </w14:solidFill>
          </w14:textFill>
        </w:rPr>
        <w:t>报帐</w:t>
      </w:r>
      <w:r>
        <w:rPr>
          <w:rStyle w:val="10"/>
          <w:rFonts w:ascii="仿宋" w:hAnsi="仿宋" w:eastAsia="仿宋" w:cs="仿宋_GB2312"/>
          <w:bCs/>
          <w:color w:val="000000" w:themeColor="text1"/>
          <w:sz w:val="32"/>
          <w:szCs w:val="32"/>
          <w:shd w:val="clear" w:color="auto" w:fill="FFFFFF"/>
          <w14:textFill>
            <w14:solidFill>
              <w14:schemeClr w14:val="tx1"/>
            </w14:solidFill>
          </w14:textFill>
        </w:rPr>
        <w:fldChar w:fldCharType="end"/>
      </w:r>
      <w:r>
        <w:rPr>
          <w:rFonts w:ascii="仿宋" w:hAnsi="仿宋" w:eastAsia="仿宋" w:cs="仿宋_GB2312"/>
          <w:bCs/>
          <w:color w:val="000000" w:themeColor="text1"/>
          <w:sz w:val="32"/>
          <w:szCs w:val="32"/>
          <w:shd w:val="clear" w:color="auto" w:fill="FFFFFF"/>
          <w14:textFill>
            <w14:solidFill>
              <w14:schemeClr w14:val="tx1"/>
            </w14:solidFill>
          </w14:textFill>
        </w:rPr>
        <w:t>工作，调查研究、分析、检查学校资金使用效果。</w:t>
      </w:r>
    </w:p>
    <w:p>
      <w:pPr>
        <w:ind w:firstLine="643" w:firstLineChars="200"/>
        <w:jc w:val="left"/>
        <w:rPr>
          <w:rFonts w:ascii="仿宋" w:hAnsi="仿宋" w:eastAsia="仿宋" w:cs="仿宋_GB2312"/>
          <w:b/>
          <w:color w:val="000000" w:themeColor="text1"/>
          <w:kern w:val="0"/>
          <w:sz w:val="32"/>
          <w:szCs w:val="32"/>
          <w:shd w:val="clear" w:color="auto" w:fill="FFFFFF"/>
          <w14:textFill>
            <w14:solidFill>
              <w14:schemeClr w14:val="tx1"/>
            </w14:solidFill>
          </w14:textFill>
        </w:rPr>
      </w:pPr>
      <w:r>
        <w:rPr>
          <w:rFonts w:hint="eastAsia" w:ascii="仿宋" w:hAnsi="仿宋" w:eastAsia="仿宋" w:cs="仿宋_GB2312"/>
          <w:b/>
          <w:color w:val="000000" w:themeColor="text1"/>
          <w:kern w:val="0"/>
          <w:sz w:val="32"/>
          <w:szCs w:val="32"/>
          <w:shd w:val="clear" w:color="auto" w:fill="FFFFFF"/>
          <w14:textFill>
            <w14:solidFill>
              <w14:schemeClr w14:val="tx1"/>
            </w14:solidFill>
          </w14:textFill>
        </w:rPr>
        <w:t>3.5德育工作情况</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德育是学校实施素质教育的重要组成部分。它贯穿于学校教育</w:t>
      </w:r>
      <w:r>
        <w:fldChar w:fldCharType="begin"/>
      </w:r>
      <w:r>
        <w:instrText xml:space="preserve"> HYPERLINK "http://www.gkstk.com/article/jiaoxuefansi.htm" \o "教学" </w:instrText>
      </w:r>
      <w:r>
        <w:fldChar w:fldCharType="separate"/>
      </w:r>
      <w:r>
        <w:rPr>
          <w:rStyle w:val="10"/>
          <w:rFonts w:hint="eastAsia" w:ascii="仿宋" w:hAnsi="仿宋" w:eastAsia="仿宋" w:cs="仿宋_GB2312"/>
          <w:color w:val="000000" w:themeColor="text1"/>
          <w:sz w:val="32"/>
          <w:szCs w:val="32"/>
          <w14:textFill>
            <w14:solidFill>
              <w14:schemeClr w14:val="tx1"/>
            </w14:solidFill>
          </w14:textFill>
        </w:rPr>
        <w:t>教学</w:t>
      </w:r>
      <w:r>
        <w:rPr>
          <w:rStyle w:val="10"/>
          <w:rFonts w:hint="eastAsia" w:ascii="仿宋" w:hAnsi="仿宋" w:eastAsia="仿宋" w:cs="仿宋_GB2312"/>
          <w:color w:val="000000" w:themeColor="text1"/>
          <w:sz w:val="32"/>
          <w:szCs w:val="32"/>
          <w14:textFill>
            <w14:solidFill>
              <w14:schemeClr w14:val="tx1"/>
            </w14:solidFill>
          </w14:textFill>
        </w:rPr>
        <w:fldChar w:fldCharType="end"/>
      </w:r>
      <w:r>
        <w:rPr>
          <w:rFonts w:hint="eastAsia" w:ascii="仿宋" w:hAnsi="仿宋" w:eastAsia="仿宋" w:cs="仿宋_GB2312"/>
          <w:color w:val="000000" w:themeColor="text1"/>
          <w:sz w:val="32"/>
          <w:szCs w:val="32"/>
          <w14:textFill>
            <w14:solidFill>
              <w14:schemeClr w14:val="tx1"/>
            </w14:solidFill>
          </w14:textFill>
        </w:rPr>
        <w:t>的全过程和学生日常生活的各个方面，渗透在智育、体育、美育和劳动教育中。</w:t>
      </w:r>
    </w:p>
    <w:p>
      <w:pPr>
        <w:pStyle w:val="6"/>
        <w:spacing w:before="0" w:beforeAutospacing="0" w:after="0" w:afterAutospacing="0"/>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加强理论学习和德育实践研究，组织师德理论学习。本年度，我们利用教师政治学习的机会，组织教师学习了《教师法》、《未成年人保护法》和市、区教育主管部门有关师德教育和建设的文件资料等，以教育行评为契机，有效地加强了师德建设。开展德育科研活动。我们以新课程理念努力转变班主任的角色，并通过小课题研究、理论学习、案例撰写等形式开展德育科研活动。每位教师都结合自己的教育教学实践，撰写学习心得体会，提高教师的德育理论水平。</w:t>
      </w:r>
    </w:p>
    <w:p>
      <w:pPr>
        <w:widowControl/>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开展多种形式的主题教育活动，爱国主义教育，抓好每周一的升旗仪式和国旗下讲话，激发学生爱国热情，树立正确的国家意识，培养爱国主义意识。</w:t>
      </w:r>
      <w:r>
        <w:rPr>
          <w:rFonts w:hint="eastAsia" w:ascii="仿宋" w:hAnsi="仿宋" w:eastAsia="仿宋" w:cs="宋体"/>
          <w:color w:val="000000" w:themeColor="text1"/>
          <w:kern w:val="0"/>
          <w:sz w:val="28"/>
          <w:szCs w:val="28"/>
          <w14:textFill>
            <w14:solidFill>
              <w14:schemeClr w14:val="tx1"/>
            </w14:solidFill>
          </w14:textFill>
        </w:rPr>
        <w:t>学校把德育课课程建设与</w:t>
      </w:r>
      <w:r>
        <w:rPr>
          <w:rFonts w:hint="eastAsia" w:ascii="仿宋" w:hAnsi="仿宋" w:eastAsia="仿宋" w:cs="宋体"/>
          <w:color w:val="000000" w:themeColor="text1"/>
          <w:kern w:val="0"/>
          <w:sz w:val="32"/>
          <w:szCs w:val="32"/>
          <w14:textFill>
            <w14:solidFill>
              <w14:schemeClr w14:val="tx1"/>
            </w14:solidFill>
          </w14:textFill>
        </w:rPr>
        <w:t>学生常规管理紧密结合，以德育实践活动为载体，强化制度管理，一直以来，我校德育工作遵循“以人为本、立足发展、贴近实际、注重实效”的教育理念，强化制度管理，努力把德育工作做“实”、做“活”、做“亮”，使我校德育工作焕发出生命的活力。　　</w:t>
      </w:r>
      <w:r>
        <w:rPr>
          <w:rFonts w:hint="eastAsia" w:ascii="宋体" w:hAnsi="宋体" w:eastAsia="仿宋" w:cs="宋体"/>
          <w:color w:val="000000" w:themeColor="text1"/>
          <w:kern w:val="0"/>
          <w:sz w:val="32"/>
          <w:szCs w:val="32"/>
          <w14:textFill>
            <w14:solidFill>
              <w14:schemeClr w14:val="tx1"/>
            </w14:solidFill>
          </w14:textFill>
        </w:rPr>
        <w:t>   </w:t>
      </w:r>
    </w:p>
    <w:p>
      <w:pPr>
        <w:widowControl/>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工作中，我校以“依靠人、为了人、服务人”为基本出发点，尊重学生、关爱学生、服务学生，发现和培养学生的兴趣和特长，塑造学生大爱、和谐的心灵。以尊重学生的个性特点为指导思想，遵循青少年个性发展的特点，着眼于学生养成良好的思想品德和行为习惯。用个性鲜明的“向不文明行为说再见”“绿化教室”“周一主题班会”“主题黑板报”等活动组成了“一班一思路”特色文化，激发和引导着学生们自我发展。</w:t>
      </w:r>
    </w:p>
    <w:p>
      <w:pPr>
        <w:widowControl/>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学校积极开展各种社团活动，文体活动，开展校园歌手大赛，国庆晚会，彝族年一家亲活动，12.9红歌比赛，校运动会等活动引领学生思想情操。校外开展物品捐赠、义务劳动、帮助老人、扶贫献爱心、参加防疾病防艾滋公益汇演、为贫困留守儿童做义工等，通过这些活动的开展，使学生们思想政治素质总体上向积极健康的方向发展，有较高的政治参与意识，把各种党团活动搞得有声有色。</w:t>
      </w:r>
      <w:r>
        <w:rPr>
          <w:rFonts w:hint="eastAsia" w:ascii="宋体" w:hAnsi="宋体" w:eastAsia="仿宋" w:cs="宋体"/>
          <w:color w:val="000000" w:themeColor="text1"/>
          <w:kern w:val="0"/>
          <w:sz w:val="32"/>
          <w:szCs w:val="32"/>
          <w14:textFill>
            <w14:solidFill>
              <w14:schemeClr w14:val="tx1"/>
            </w14:solidFill>
          </w14:textFill>
        </w:rPr>
        <w:t> </w:t>
      </w:r>
    </w:p>
    <w:p>
      <w:pPr>
        <w:pStyle w:val="6"/>
        <w:spacing w:before="0" w:beforeAutospacing="0" w:after="0" w:afterAutospacing="0"/>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学校认真开展了关爱“留守学生”教育工作。切实加强家校联系为真正提高家校联系质量，本学期制定了家长学校各种制度并开展活动，还对班主任或其他任课老师提出一定的要求，使学校、家庭、社会联系更为紧密，构建立体的教育网络。</w:t>
      </w:r>
    </w:p>
    <w:p>
      <w:pPr>
        <w:pStyle w:val="6"/>
        <w:spacing w:before="0" w:beforeAutospacing="0" w:after="0" w:afterAutospacing="0"/>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3.6党建情况</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在2020年，学校党建工作以新时代党的建设要求为主线，以党的政治建设为统领，以“十九大精神”学习教育为重点，全面发挥校党委“推动发展，服务师生、凝聚人心，促进和谐”作用，为学校又好又快发展提供坚强有力的思想和组织保障。</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夯实党的基础组织建设，增强基层党支部战斗堡垒作用。支部组建了抗疫情先锋队和志愿服务队各1个；组建了流动党员组1个。设置成立了党员志愿服务岗8个，为学校及师生服务82余次。参与学校消毒6次；捐款3次。开展“标准化规范化党支部”工作，全面提升党支部的规范化建设水平，基层党组织的凝聚力和战斗力进一步加强。根据《党费收缴工作细则（试行）》要求，精细核定党费标准，严格执行党费缴纳制度，进一步强化党员身份意识、责任意识。</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坚持和完善“三会一课”制度，通过精心设计，做到“三会一课”时间、人员、内容、效果四到位。打造“程序规范、主题明显、载体灵活、效果明显”的主题党日活动，有效统一党员的思想和行动。始终把中心组学习作为一项重要的政治任务紧抓在手，坚持系统学习，做到全面理解，切实统一思想和行动，努力推动理论学习成果向实际工作有效转化。以“思想认识到位、会前准备到位、开展批评到位、整改落实到位”为标准，严格落实民主生活会制度。召开支委会议4次，确定了冉芳同志等3名发展对象。通过表决确定了冉星、马强、王霞等3名为预备党员的审查工作。新接收递交入党申请书教师4名，学生8名。积极开展组织生活1次，支部会议2次。积极落实上级党委交办的各项表册，上交资料等28余次。</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加强十九大精神、全国教育大会精神的学习宣传，推进“两学一做”“大学习、大讨论、大调研”的常态化、制度化。举办“党的基础知识竞赛”、“互联网+党课”“党的知识竞赛”等活动，全校党员干部的思想和行动高度统一，十九大精神、全国教育大会精神的理论知识有效转化为新时代学校改革发展的助力。继续推进“我是党员-我在行动”活动，邀请不同领域的专家学者，聚焦当下时事热点，对广大党员进行深入系统的解读和宣讲，进一步推动理论联系实际落地生根。</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探求思想政治工作抓手，将思想政治工作与学校教育教学管理工作融会贯通，做到日常，做到经常。搭建社会主义核心价值观培育团队，启动以明师德、铸师魂、树政德、谋发展的师生社会主义核心价值观培育工程。将思想政治工作与学校教育教学管理工作融会贯通，做到日常，做到经常。全力提升党员示范意识，创新方式，丰富载体。积极开展“共产党员先锋行动”，全面增强党员同志的特殊身份意识，立足本职，当先锋、做模范。组织党员同志参观朱德纪念馆、邓小平故居等红色革命基地，实地了解革命年代的光辉历程，广大党员的责任感和使命感显著增强。</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充分发挥群团作用，开展丰富多彩活动，促进师生身心健康、快乐。发挥工会服务教职员工功能。关心职工生活解决员工后顾之忧，每月一次的“教职工集体生日”，增进了职工之间的友谊和情感；组建声乐、舞蹈、书法、跆拳道等“工会兴趣小组”丰富广大教职工的业余文化生活。开展庆七·一建党活动，支部评出优秀党员7名，社区优秀党员2名。</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坚持党建带团建。指导团委创新工作方式、丰富活动内容，全面提升管理品质，完善团委、学生会干部管理体制机制，全面提升学生素质能力，助力学校发展；组织开展各类实践、艺术活动，丰富学生校园文化生活，增强学校凝聚力，学生归属感；组建10个学生自治社团，给学生搭建展示、成长的平台，培育学生兴趣爱好，增长自我教育能力，同时彰显办学特色，助力人才培养质量提升。</w:t>
      </w:r>
    </w:p>
    <w:p>
      <w:pPr>
        <w:ind w:firstLine="640" w:firstLineChars="200"/>
        <w:jc w:val="left"/>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完善制度，规范程序，时刻绷紧反腐倡廉之弦。依规完成正风肃纪监督工作。做到自查自纠深入彻底，专项检查全面覆盖，整改落实认真到位。定期进行廉政谈话，确保党员干部时刻绷紧反腐倡廉之弦。严格执行“三重一大”集体决策制度，力求用制度将风险防控于未然。</w:t>
      </w:r>
    </w:p>
    <w:p>
      <w:pPr>
        <w:ind w:firstLine="640" w:firstLineChars="2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制定《南充电子工业学校加强和改进意识形态工作的实施意见》，梳理意识形态建设责任清单，强化意识形态工作监督机制。</w:t>
      </w:r>
    </w:p>
    <w:p>
      <w:pPr>
        <w:rPr>
          <w:rFonts w:ascii="仿宋" w:hAnsi="仿宋" w:eastAsia="仿宋"/>
          <w:color w:val="000000" w:themeColor="text1"/>
          <w14:textFill>
            <w14:solidFill>
              <w14:schemeClr w14:val="tx1"/>
            </w14:solidFill>
          </w14:textFill>
        </w:rPr>
      </w:pPr>
    </w:p>
    <w:p>
      <w:pPr>
        <w:pStyle w:val="6"/>
        <w:spacing w:before="0" w:beforeAutospacing="0" w:after="0" w:afterAutospacing="0"/>
        <w:rPr>
          <w:rFonts w:ascii="仿宋" w:hAnsi="仿宋" w:eastAsia="仿宋" w:cs="仿宋_GB2312"/>
          <w:b/>
          <w:bCs/>
          <w:color w:val="000000" w:themeColor="text1"/>
          <w:sz w:val="36"/>
          <w:szCs w:val="36"/>
          <w14:textFill>
            <w14:solidFill>
              <w14:schemeClr w14:val="tx1"/>
            </w14:solidFill>
          </w14:textFill>
        </w:rPr>
      </w:pPr>
      <w:r>
        <w:rPr>
          <w:rFonts w:hint="eastAsia" w:ascii="仿宋" w:hAnsi="仿宋" w:eastAsia="仿宋" w:cs="仿宋_GB2312"/>
          <w:b/>
          <w:bCs/>
          <w:color w:val="000000" w:themeColor="text1"/>
          <w:sz w:val="36"/>
          <w:szCs w:val="36"/>
          <w14:textFill>
            <w14:solidFill>
              <w14:schemeClr w14:val="tx1"/>
            </w14:solidFill>
          </w14:textFill>
        </w:rPr>
        <w:t>四、校企合作</w:t>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4.1校企合作开展情况和效果</w:t>
      </w:r>
    </w:p>
    <w:p>
      <w:pPr>
        <w:ind w:firstLine="620" w:firstLineChars="200"/>
        <w:rPr>
          <w:rFonts w:ascii="仿宋" w:hAnsi="仿宋" w:eastAsia="仿宋" w:cs="仿宋"/>
          <w:color w:val="000000" w:themeColor="text1"/>
          <w:sz w:val="31"/>
          <w14:textFill>
            <w14:solidFill>
              <w14:schemeClr w14:val="tx1"/>
            </w14:solidFill>
          </w14:textFill>
        </w:rPr>
      </w:pPr>
      <w:r>
        <w:rPr>
          <w:rFonts w:hint="eastAsia" w:ascii="仿宋" w:hAnsi="仿宋" w:eastAsia="仿宋" w:cs="仿宋"/>
          <w:color w:val="000000" w:themeColor="text1"/>
          <w:sz w:val="31"/>
          <w14:textFill>
            <w14:solidFill>
              <w14:schemeClr w14:val="tx1"/>
            </w14:solidFill>
          </w14:textFill>
        </w:rPr>
        <w:t>学校坚持校企合作、工学结合的基本办学制度，充分发挥校企双元办学主体作业，通过“引企入校，订单开班培养、现代学徒制”等途径和方式，促进行业企业参与人才培养全过程，为学校招生、实习、就业提供良好的保障，学校与吉利四川商用车有限公司、上海大众汽车、成都吉利领克汽车有限公司、上汽通用汽车有限公司、中石化江苏油田矿业开发有限公司、广东高速公路有限公司、南昌铁路局、华科电子有限公司等十多家有实力的企业签订了校企合作协议，学校开展招生订单办学，目前吉利集团、上汽通用汽车已成立订单班。</w:t>
      </w:r>
    </w:p>
    <w:p>
      <w:pPr>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4.2学生实习情况</w:t>
      </w:r>
    </w:p>
    <w:p>
      <w:pPr>
        <w:ind w:firstLine="775" w:firstLineChars="250"/>
        <w:rPr>
          <w:rFonts w:ascii="仿宋" w:hAnsi="仿宋" w:eastAsia="仿宋" w:cs="仿宋"/>
          <w:color w:val="000000" w:themeColor="text1"/>
          <w:sz w:val="31"/>
          <w14:textFill>
            <w14:solidFill>
              <w14:schemeClr w14:val="tx1"/>
            </w14:solidFill>
          </w14:textFill>
        </w:rPr>
      </w:pPr>
      <w:r>
        <w:rPr>
          <w:rFonts w:hint="eastAsia" w:ascii="仿宋" w:hAnsi="仿宋" w:eastAsia="仿宋" w:cs="仿宋"/>
          <w:color w:val="000000" w:themeColor="text1"/>
          <w:sz w:val="31"/>
          <w14:textFill>
            <w14:solidFill>
              <w14:schemeClr w14:val="tx1"/>
            </w14:solidFill>
          </w14:textFill>
        </w:rPr>
        <w:t>学校严格执行按照教育部相关文件规定及管理办法安置学生就业。成立学生就业领导小组、招就处、教务处、学保处为小组成员。</w:t>
      </w:r>
    </w:p>
    <w:p>
      <w:pPr>
        <w:pStyle w:val="6"/>
        <w:spacing w:before="0" w:beforeAutospacing="0" w:after="0" w:afterAutospacing="0"/>
        <w:ind w:firstLine="620" w:firstLineChars="200"/>
        <w:rPr>
          <w:rFonts w:ascii="仿宋" w:hAnsi="仿宋" w:eastAsia="仿宋" w:cs="仿宋"/>
          <w:color w:val="000000" w:themeColor="text1"/>
          <w:kern w:val="2"/>
          <w:sz w:val="31"/>
          <w14:textFill>
            <w14:solidFill>
              <w14:schemeClr w14:val="tx1"/>
            </w14:solidFill>
          </w14:textFill>
        </w:rPr>
      </w:pPr>
      <w:r>
        <w:rPr>
          <w:rFonts w:hint="eastAsia" w:ascii="仿宋" w:hAnsi="仿宋" w:eastAsia="仿宋" w:cs="仿宋"/>
          <w:color w:val="000000" w:themeColor="text1"/>
          <w:kern w:val="2"/>
          <w:sz w:val="31"/>
          <w14:textFill>
            <w14:solidFill>
              <w14:schemeClr w14:val="tx1"/>
            </w14:solidFill>
          </w14:textFill>
        </w:rPr>
        <w:t>2020年实习就业人数451人，直接就业人数437人，就业率95%，对口率79%。城区就业人数230人，镇区就业207人，所有学校安置的顶岗实习学生均签订校、企、生、（家长）三方顶岗实习协议，明确实习期间的各项全责及要求，维护学校及学生利益。通过双向选择招聘就业单位吉利四川商用车有限公司、惠州华通电脑有限公司、上汽通用汽车有限公司、南昌铁路局、广西南宁铁路、深圳比亚迪股份有限公司、广东高速公路有限公司、华科电子有限公司、等这些单位实习工资平均入3000元/月收以上，工作时间8小时，周末若需加班，按照国家规定执行经调查这些单位对我校实习学生满意度达到96%以上。另外：会计专业部分学生赴南充华惠财税有限公司实习就业，航空服务专业赴成都双流机场、上海虹桥机场、上海浦东机场、实习就业，通过单位了解到这些学生都有着吃苦耐劳、工作责任心强的态度，深受企业好评。他们积极热情地投入到培训中学。快速转换身份，融入企业，工作业绩突出。</w:t>
      </w:r>
    </w:p>
    <w:p>
      <w:pPr>
        <w:pStyle w:val="6"/>
        <w:spacing w:before="0" w:beforeAutospacing="0" w:after="0" w:afterAutospacing="0"/>
        <w:ind w:firstLine="643" w:firstLineChars="200"/>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4.3集团化办学情况</w:t>
      </w:r>
    </w:p>
    <w:p>
      <w:pPr>
        <w:pStyle w:val="6"/>
        <w:spacing w:before="0" w:beforeAutospacing="0" w:after="0" w:afterAutospacing="0"/>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2011年4月，南充大成职业教育集团成立，所辖南充电子工业学校及眉山电子职业技术学校两个校区。</w:t>
      </w:r>
      <w:r>
        <w:rPr>
          <w:rFonts w:hint="eastAsia" w:ascii="仿宋" w:hAnsi="仿宋" w:eastAsia="仿宋" w:cs="仿宋_GB2312"/>
          <w:color w:val="000000" w:themeColor="text1"/>
          <w:sz w:val="32"/>
          <w:szCs w:val="32"/>
          <w:shd w:val="clear" w:color="auto" w:fill="FFFFFF"/>
          <w14:textFill>
            <w14:solidFill>
              <w14:schemeClr w14:val="tx1"/>
            </w14:solidFill>
          </w14:textFill>
        </w:rPr>
        <w:t>实行集团领</w:t>
      </w:r>
      <w:r>
        <w:rPr>
          <w:rFonts w:hint="eastAsia" w:ascii="仿宋" w:hAnsi="仿宋" w:eastAsia="仿宋" w:cs="仿宋_GB2312"/>
          <w:color w:val="000000" w:themeColor="text1"/>
          <w:sz w:val="32"/>
          <w:szCs w:val="32"/>
          <w14:textFill>
            <w14:solidFill>
              <w14:schemeClr w14:val="tx1"/>
            </w14:solidFill>
          </w14:textFill>
        </w:rPr>
        <w:t>导下的校长负责制，南充电子工业学校属于南充大成职业教育集团的核心成员学校，与眉山电子职业技术学校在师资、设备、教学资源等方面实现了集团内共管共享，既有统一的协调和管理，又相对独立，充分发挥各自的办学特色，实现互惠互助，共同成长。</w:t>
      </w:r>
    </w:p>
    <w:p>
      <w:pPr>
        <w:pStyle w:val="6"/>
        <w:spacing w:before="0" w:beforeAutospacing="0" w:after="0" w:afterAutospacing="0"/>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本年度集团成立了督导领导小组，对集团所属学校加强了监督与指导，对学校的办学方向、办学目标和效益、学校内部规范化运作、校领导与教职工履职能力和工作效率等方方面面进行督导，共查处各类低能低效和违规案件20余起，及时纠正了各种不规范工作行为10余起，处理违纪教职工近10人次，极大地弘扬了正气，惩治了歪风邪气，完善了集团和学校的管理制度和加强了管理制度的执行力度。集团每学年度、每月按部门和学校工作计划对各学校常规工作进行检查验收和督导评估，并将评估结果与教职工及校领导绩效工资挂钩。</w:t>
      </w:r>
    </w:p>
    <w:p>
      <w:pPr>
        <w:pStyle w:val="6"/>
        <w:spacing w:before="0" w:beforeAutospacing="0" w:after="0" w:afterAutospacing="0"/>
        <w:ind w:firstLine="640" w:firstLineChars="200"/>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集团在尊重教师意愿，考虑学校实际，满足工作需要的基础上，统筹调配教师资源，切实均衡师资力量，推动学校均衡发展。本年度集团所属两校共互派教师学习和工作共15人次。集团根据专业建设的需要，结合校区专业布局的差异，在对学生的培养过程中，互派学生交流学习，本年度南充电子工业学校共接收眉山电子职业技术学校20人次来校学习专业知识。</w:t>
      </w:r>
    </w:p>
    <w:p>
      <w:pPr>
        <w:pStyle w:val="6"/>
        <w:spacing w:before="0" w:beforeAutospacing="0" w:after="0" w:afterAutospacing="0"/>
        <w:rPr>
          <w:rFonts w:ascii="仿宋" w:hAnsi="仿宋" w:eastAsia="仿宋" w:cs="仿宋_GB2312"/>
          <w:b/>
          <w:bCs/>
          <w:color w:val="000000" w:themeColor="text1"/>
          <w:sz w:val="36"/>
          <w:szCs w:val="36"/>
          <w14:textFill>
            <w14:solidFill>
              <w14:schemeClr w14:val="tx1"/>
            </w14:solidFill>
          </w14:textFill>
        </w:rPr>
      </w:pPr>
      <w:r>
        <w:rPr>
          <w:rFonts w:hint="eastAsia" w:ascii="仿宋" w:hAnsi="仿宋" w:eastAsia="仿宋" w:cs="仿宋_GB2312"/>
          <w:b/>
          <w:bCs/>
          <w:color w:val="000000" w:themeColor="text1"/>
          <w:sz w:val="36"/>
          <w:szCs w:val="36"/>
          <w14:textFill>
            <w14:solidFill>
              <w14:schemeClr w14:val="tx1"/>
            </w14:solidFill>
          </w14:textFill>
        </w:rPr>
        <w:t>五、社会贡献</w:t>
      </w:r>
    </w:p>
    <w:p>
      <w:pPr>
        <w:pStyle w:val="6"/>
        <w:shd w:val="clear" w:color="auto" w:fill="FFFFFF"/>
        <w:spacing w:before="0" w:beforeAutospacing="0" w:after="0" w:afterAutospacing="0"/>
        <w:ind w:firstLine="643" w:firstLineChars="200"/>
        <w:rPr>
          <w:rFonts w:ascii="仿宋" w:hAnsi="仿宋" w:eastAsia="仿宋" w:cs="仿宋_GB2312"/>
          <w:b/>
          <w:color w:val="000000" w:themeColor="text1"/>
          <w:kern w:val="2"/>
          <w:sz w:val="32"/>
          <w:szCs w:val="32"/>
          <w14:textFill>
            <w14:solidFill>
              <w14:schemeClr w14:val="tx1"/>
            </w14:solidFill>
          </w14:textFill>
        </w:rPr>
      </w:pPr>
      <w:r>
        <w:rPr>
          <w:rFonts w:hint="eastAsia" w:ascii="仿宋" w:hAnsi="仿宋" w:eastAsia="仿宋" w:cs="仿宋_GB2312"/>
          <w:b/>
          <w:color w:val="000000" w:themeColor="text1"/>
          <w:kern w:val="2"/>
          <w:sz w:val="32"/>
          <w:szCs w:val="32"/>
          <w14:textFill>
            <w14:solidFill>
              <w14:schemeClr w14:val="tx1"/>
            </w14:solidFill>
          </w14:textFill>
        </w:rPr>
        <w:t>5.1技术技能人才培养</w:t>
      </w:r>
    </w:p>
    <w:p>
      <w:pPr>
        <w:ind w:firstLine="640" w:firstLineChars="200"/>
        <w:jc w:val="left"/>
        <w:rPr>
          <w:rFonts w:eastAsia="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我校注重专业技能技术人才的培养，在校期间，学生分别能考取计算机等级证书、普通话证书、电工、车工、汽车维修工、保育员等相关专业的职业资格证书，2019年总计考证率点毕业人数的79％,2020年总计考证率占毕业人数的83％。在学生实习、就业期间分别成为生产车间的拉长、部门技术骨干，就业的优胜率持续提高，如吉利集团股份公司南充分公司3名学生在总装车间成为技术能手。学生的实习、就业工资在3000－5000元，为建设成渝第二城做出了一定的贡献。（表6）</w:t>
      </w:r>
    </w:p>
    <w:p>
      <w:pPr>
        <w:ind w:firstLine="640" w:firstLineChars="2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表6：</w:t>
      </w:r>
    </w:p>
    <w:p>
      <w:pPr>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企业对学生的就业满意度调查</w:t>
      </w:r>
    </w:p>
    <w:tbl>
      <w:tblPr>
        <w:tblStyle w:val="7"/>
        <w:tblW w:w="8423"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2070"/>
        <w:gridCol w:w="2220"/>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atLeast"/>
        </w:trPr>
        <w:tc>
          <w:tcPr>
            <w:tcW w:w="1718" w:type="dxa"/>
          </w:tcPr>
          <w:p>
            <w:pPr>
              <w:jc w:val="center"/>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调查年份</w:t>
            </w:r>
          </w:p>
        </w:tc>
        <w:tc>
          <w:tcPr>
            <w:tcW w:w="2070" w:type="dxa"/>
          </w:tcPr>
          <w:p>
            <w:pPr>
              <w:ind w:firstLine="300" w:firstLineChars="1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发放调查表</w:t>
            </w:r>
          </w:p>
        </w:tc>
        <w:tc>
          <w:tcPr>
            <w:tcW w:w="2220" w:type="dxa"/>
          </w:tcPr>
          <w:p>
            <w:pPr>
              <w:jc w:val="center"/>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收回调查表</w:t>
            </w:r>
          </w:p>
        </w:tc>
        <w:tc>
          <w:tcPr>
            <w:tcW w:w="2415" w:type="dxa"/>
          </w:tcPr>
          <w:p>
            <w:pPr>
              <w:ind w:firstLine="300" w:firstLineChars="1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企业满意度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718" w:type="dxa"/>
          </w:tcPr>
          <w:p>
            <w:pPr>
              <w:ind w:firstLine="320" w:firstLineChars="1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2018</w:t>
            </w:r>
          </w:p>
        </w:tc>
        <w:tc>
          <w:tcPr>
            <w:tcW w:w="2070"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653</w:t>
            </w:r>
          </w:p>
        </w:tc>
        <w:tc>
          <w:tcPr>
            <w:tcW w:w="2220"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602</w:t>
            </w:r>
          </w:p>
        </w:tc>
        <w:tc>
          <w:tcPr>
            <w:tcW w:w="2415"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718" w:type="dxa"/>
          </w:tcPr>
          <w:p>
            <w:pPr>
              <w:ind w:firstLine="320" w:firstLineChars="1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2019</w:t>
            </w:r>
          </w:p>
        </w:tc>
        <w:tc>
          <w:tcPr>
            <w:tcW w:w="2070"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846</w:t>
            </w:r>
          </w:p>
        </w:tc>
        <w:tc>
          <w:tcPr>
            <w:tcW w:w="2220"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823</w:t>
            </w:r>
          </w:p>
        </w:tc>
        <w:tc>
          <w:tcPr>
            <w:tcW w:w="2415"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718" w:type="dxa"/>
          </w:tcPr>
          <w:p>
            <w:pPr>
              <w:ind w:firstLine="320" w:firstLineChars="1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2020</w:t>
            </w:r>
          </w:p>
        </w:tc>
        <w:tc>
          <w:tcPr>
            <w:tcW w:w="2070"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437</w:t>
            </w:r>
          </w:p>
        </w:tc>
        <w:tc>
          <w:tcPr>
            <w:tcW w:w="2220"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384</w:t>
            </w:r>
          </w:p>
        </w:tc>
        <w:tc>
          <w:tcPr>
            <w:tcW w:w="2415" w:type="dxa"/>
          </w:tcPr>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96%</w:t>
            </w:r>
          </w:p>
        </w:tc>
      </w:tr>
    </w:tbl>
    <w:p>
      <w:pPr>
        <w:pStyle w:val="6"/>
        <w:shd w:val="clear" w:color="auto" w:fill="FFFFFF"/>
        <w:spacing w:before="0" w:beforeAutospacing="0" w:after="0" w:afterAutospacing="0"/>
        <w:ind w:firstLine="643" w:firstLineChars="200"/>
        <w:rPr>
          <w:rFonts w:ascii="仿宋" w:hAnsi="仿宋" w:eastAsia="仿宋" w:cs="仿宋_GB2312"/>
          <w:b/>
          <w:bCs/>
          <w:color w:val="000000" w:themeColor="text1"/>
          <w:kern w:val="2"/>
          <w:sz w:val="32"/>
          <w:szCs w:val="32"/>
          <w14:textFill>
            <w14:solidFill>
              <w14:schemeClr w14:val="tx1"/>
            </w14:solidFill>
          </w14:textFill>
        </w:rPr>
      </w:pPr>
    </w:p>
    <w:p>
      <w:pPr>
        <w:pStyle w:val="6"/>
        <w:shd w:val="clear" w:color="auto" w:fill="FFFFFF"/>
        <w:spacing w:before="0" w:beforeAutospacing="0" w:after="0" w:afterAutospacing="0"/>
        <w:ind w:firstLine="643" w:firstLineChars="200"/>
        <w:rPr>
          <w:rFonts w:ascii="仿宋" w:hAnsi="仿宋" w:eastAsia="仿宋" w:cs="仿宋_GB2312"/>
          <w:b/>
          <w:bCs/>
          <w:color w:val="000000" w:themeColor="text1"/>
          <w:kern w:val="2"/>
          <w:sz w:val="32"/>
          <w:szCs w:val="32"/>
          <w14:textFill>
            <w14:solidFill>
              <w14:schemeClr w14:val="tx1"/>
            </w14:solidFill>
          </w14:textFill>
        </w:rPr>
      </w:pPr>
      <w:r>
        <w:rPr>
          <w:rFonts w:hint="eastAsia" w:ascii="仿宋" w:hAnsi="仿宋" w:eastAsia="仿宋" w:cs="仿宋_GB2312"/>
          <w:b/>
          <w:bCs/>
          <w:color w:val="000000" w:themeColor="text1"/>
          <w:kern w:val="2"/>
          <w:sz w:val="32"/>
          <w:szCs w:val="32"/>
          <w14:textFill>
            <w14:solidFill>
              <w14:schemeClr w14:val="tx1"/>
            </w14:solidFill>
          </w14:textFill>
        </w:rPr>
        <w:t>5.2社会服务</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高度重视社会服务工作，尤其是在汽车专业、电子技术专业，2020年共培训农民工357人，从事相关行业236人；2020年培训再就业人员121人，经过培训再就业人员103人。学校的师资和实训室对社会开放，2020年共对社会服务60天。</w:t>
      </w:r>
    </w:p>
    <w:p>
      <w:pPr>
        <w:pStyle w:val="6"/>
        <w:shd w:val="clear" w:color="auto" w:fill="FFFFFF"/>
        <w:spacing w:before="0" w:beforeAutospacing="0" w:after="0" w:afterAutospacing="0"/>
        <w:ind w:firstLine="643" w:firstLineChars="200"/>
        <w:rPr>
          <w:rFonts w:ascii="仿宋" w:hAnsi="仿宋" w:eastAsia="仿宋" w:cs="仿宋_GB2312"/>
          <w:b/>
          <w:color w:val="000000" w:themeColor="text1"/>
          <w:kern w:val="2"/>
          <w:sz w:val="32"/>
          <w:szCs w:val="32"/>
          <w14:textFill>
            <w14:solidFill>
              <w14:schemeClr w14:val="tx1"/>
            </w14:solidFill>
          </w14:textFill>
        </w:rPr>
      </w:pPr>
      <w:r>
        <w:rPr>
          <w:rFonts w:hint="eastAsia" w:ascii="仿宋" w:hAnsi="仿宋" w:eastAsia="仿宋" w:cs="仿宋_GB2312"/>
          <w:b/>
          <w:color w:val="000000" w:themeColor="text1"/>
          <w:kern w:val="2"/>
          <w:sz w:val="32"/>
          <w:szCs w:val="32"/>
          <w14:textFill>
            <w14:solidFill>
              <w14:schemeClr w14:val="tx1"/>
            </w14:solidFill>
          </w14:textFill>
        </w:rPr>
        <w:t>5.3对口支援</w:t>
      </w:r>
    </w:p>
    <w:p>
      <w:pPr>
        <w:pStyle w:val="6"/>
        <w:shd w:val="clear" w:color="auto" w:fill="FFFFFF"/>
        <w:spacing w:before="0" w:beforeAutospacing="0" w:after="0" w:afterAutospacing="0"/>
        <w:ind w:firstLine="640" w:firstLineChars="200"/>
        <w:rPr>
          <w:rFonts w:ascii="仿宋" w:hAnsi="仿宋" w:eastAsia="仿宋" w:cs="仿宋"/>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 xml:space="preserve">学校对家庭特别困难的学生对口扶贫， </w:t>
      </w:r>
      <w:r>
        <w:rPr>
          <w:rFonts w:hint="eastAsia"/>
          <w:color w:val="000000" w:themeColor="text1"/>
          <w:sz w:val="32"/>
          <w:szCs w:val="32"/>
          <w14:textFill>
            <w14:solidFill>
              <w14:schemeClr w14:val="tx1"/>
            </w14:solidFill>
          </w14:textFill>
        </w:rPr>
        <w:t>42</w:t>
      </w:r>
      <w:r>
        <w:rPr>
          <w:color w:val="000000" w:themeColor="text1"/>
          <w:sz w:val="32"/>
          <w:szCs w:val="32"/>
          <w14:textFill>
            <w14:solidFill>
              <w14:schemeClr w14:val="tx1"/>
            </w14:solidFill>
          </w14:textFill>
        </w:rPr>
        <w:t>名</w:t>
      </w:r>
      <w:r>
        <w:rPr>
          <w:rFonts w:hint="eastAsia"/>
          <w:color w:val="000000" w:themeColor="text1"/>
          <w:sz w:val="32"/>
          <w:szCs w:val="32"/>
          <w14:textFill>
            <w14:solidFill>
              <w14:schemeClr w14:val="tx1"/>
            </w14:solidFill>
          </w14:textFill>
        </w:rPr>
        <w:t>高坪籍</w:t>
      </w:r>
      <w:r>
        <w:rPr>
          <w:color w:val="000000" w:themeColor="text1"/>
          <w:sz w:val="32"/>
          <w:szCs w:val="32"/>
          <w14:textFill>
            <w14:solidFill>
              <w14:schemeClr w14:val="tx1"/>
            </w14:solidFill>
          </w14:textFill>
        </w:rPr>
        <w:t>特别困难学生实行建档立卡，均享受免学费1900元一年，共三年。助学金2000元一年，共两年</w:t>
      </w:r>
      <w:r>
        <w:rPr>
          <w:rFonts w:hint="eastAsia"/>
          <w:color w:val="000000" w:themeColor="text1"/>
          <w:sz w:val="32"/>
          <w:szCs w:val="32"/>
          <w14:textFill>
            <w14:solidFill>
              <w14:schemeClr w14:val="tx1"/>
            </w14:solidFill>
          </w14:textFill>
        </w:rPr>
        <w:t>。建档立卡特别资助1000元一年，共三年</w:t>
      </w:r>
      <w:r>
        <w:rPr>
          <w:color w:val="000000" w:themeColor="text1"/>
          <w:sz w:val="32"/>
          <w:szCs w:val="32"/>
          <w14:textFill>
            <w14:solidFill>
              <w14:schemeClr w14:val="tx1"/>
            </w14:solidFill>
          </w14:textFill>
        </w:rPr>
        <w:t>。保证他们能顺利完成学业</w:t>
      </w:r>
      <w:r>
        <w:rPr>
          <w:rFonts w:hint="eastAsia"/>
          <w:color w:val="000000" w:themeColor="text1"/>
          <w:sz w:val="32"/>
          <w:szCs w:val="32"/>
          <w14:textFill>
            <w14:solidFill>
              <w14:schemeClr w14:val="tx1"/>
            </w14:solidFill>
          </w14:textFill>
        </w:rPr>
        <w:t>。</w:t>
      </w:r>
    </w:p>
    <w:p>
      <w:pPr>
        <w:pStyle w:val="6"/>
        <w:shd w:val="clear" w:color="auto" w:fill="FFFFFF"/>
        <w:spacing w:before="0" w:beforeAutospacing="0" w:after="0" w:afterAutospacing="0"/>
        <w:rPr>
          <w:rFonts w:ascii="仿宋" w:hAnsi="仿宋" w:eastAsia="仿宋" w:cs="仿宋_GB2312"/>
          <w:b/>
          <w:bCs/>
          <w:color w:val="000000" w:themeColor="text1"/>
          <w:kern w:val="2"/>
          <w:sz w:val="36"/>
          <w:szCs w:val="36"/>
          <w14:textFill>
            <w14:solidFill>
              <w14:schemeClr w14:val="tx1"/>
            </w14:solidFill>
          </w14:textFill>
        </w:rPr>
      </w:pPr>
      <w:r>
        <w:rPr>
          <w:rFonts w:hint="eastAsia" w:ascii="仿宋" w:hAnsi="仿宋" w:eastAsia="仿宋" w:cs="仿宋_GB2312"/>
          <w:b/>
          <w:bCs/>
          <w:color w:val="000000" w:themeColor="text1"/>
          <w:kern w:val="2"/>
          <w:sz w:val="36"/>
          <w:szCs w:val="36"/>
          <w14:textFill>
            <w14:solidFill>
              <w14:schemeClr w14:val="tx1"/>
            </w14:solidFill>
          </w14:textFill>
        </w:rPr>
        <w:t>六、举办者履责</w:t>
      </w:r>
    </w:p>
    <w:p>
      <w:pPr>
        <w:pStyle w:val="6"/>
        <w:shd w:val="clear" w:color="auto" w:fill="FFFFFF"/>
        <w:spacing w:before="0" w:beforeAutospacing="0" w:after="0" w:afterAutospacing="0"/>
        <w:ind w:firstLine="643" w:firstLineChars="200"/>
        <w:rPr>
          <w:rFonts w:ascii="仿宋" w:hAnsi="仿宋" w:eastAsia="仿宋" w:cs="仿宋_GB2312"/>
          <w:b/>
          <w:color w:val="auto"/>
          <w:kern w:val="2"/>
          <w:sz w:val="32"/>
          <w:szCs w:val="32"/>
        </w:rPr>
      </w:pPr>
      <w:r>
        <w:rPr>
          <w:rFonts w:hint="eastAsia" w:ascii="仿宋" w:hAnsi="仿宋" w:eastAsia="仿宋" w:cs="仿宋_GB2312"/>
          <w:b/>
          <w:color w:val="auto"/>
          <w:kern w:val="2"/>
          <w:sz w:val="32"/>
          <w:szCs w:val="32"/>
        </w:rPr>
        <w:t>6.1经费保障</w:t>
      </w:r>
    </w:p>
    <w:p>
      <w:pPr>
        <w:ind w:left="638" w:leftChars="304"/>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rPr>
        <w:t>1、学校自筹资金</w:t>
      </w:r>
      <w:r>
        <w:rPr>
          <w:rFonts w:hint="eastAsia" w:ascii="仿宋" w:hAnsi="仿宋" w:eastAsia="仿宋" w:cs="仿宋_GB2312"/>
          <w:color w:val="auto"/>
          <w:sz w:val="32"/>
          <w:szCs w:val="32"/>
          <w:lang w:val="en-US" w:eastAsia="zh-CN"/>
        </w:rPr>
        <w:t>500</w:t>
      </w:r>
      <w:r>
        <w:rPr>
          <w:rFonts w:hint="eastAsia" w:ascii="仿宋" w:hAnsi="仿宋" w:eastAsia="仿宋" w:cs="仿宋_GB2312"/>
          <w:color w:val="auto"/>
          <w:sz w:val="32"/>
          <w:szCs w:val="32"/>
        </w:rPr>
        <w:t>万元，用于扩建学生公寓。</w:t>
      </w:r>
    </w:p>
    <w:p>
      <w:pPr>
        <w:ind w:left="638" w:leftChars="304"/>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rPr>
        <w:t>2、学校自筹资金</w:t>
      </w:r>
      <w:r>
        <w:rPr>
          <w:rFonts w:hint="eastAsia" w:ascii="仿宋" w:hAnsi="仿宋" w:eastAsia="仿宋" w:cs="仿宋_GB2312"/>
          <w:color w:val="auto"/>
          <w:sz w:val="32"/>
          <w:szCs w:val="32"/>
          <w:lang w:val="en-US" w:eastAsia="zh-CN"/>
        </w:rPr>
        <w:t>300</w:t>
      </w:r>
      <w:r>
        <w:rPr>
          <w:rFonts w:hint="eastAsia" w:ascii="仿宋" w:hAnsi="仿宋" w:eastAsia="仿宋" w:cs="仿宋_GB2312"/>
          <w:color w:val="auto"/>
          <w:sz w:val="32"/>
          <w:szCs w:val="32"/>
        </w:rPr>
        <w:t>万元，用于扩建教室。</w:t>
      </w:r>
    </w:p>
    <w:p>
      <w:pPr>
        <w:ind w:left="638" w:leftChars="304"/>
        <w:rPr>
          <w:rFonts w:ascii="仿宋" w:hAnsi="仿宋" w:eastAsia="仿宋" w:cs="仿宋_GB2312"/>
          <w:color w:val="auto"/>
          <w:sz w:val="32"/>
          <w:szCs w:val="32"/>
        </w:rPr>
      </w:pPr>
      <w:r>
        <w:rPr>
          <w:rFonts w:hint="eastAsia" w:ascii="仿宋" w:hAnsi="仿宋" w:eastAsia="仿宋" w:cs="仿宋_GB2312"/>
          <w:color w:val="auto"/>
          <w:sz w:val="32"/>
          <w:szCs w:val="32"/>
        </w:rPr>
        <w:t>3、学校自筹资金</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00万元，用于改造学校公共卫生间。</w:t>
      </w:r>
    </w:p>
    <w:p>
      <w:pPr>
        <w:pStyle w:val="6"/>
        <w:shd w:val="clear" w:color="auto" w:fill="FFFFFF"/>
        <w:spacing w:before="0" w:beforeAutospacing="0" w:after="0" w:afterAutospacing="0"/>
        <w:ind w:firstLine="643" w:firstLineChars="200"/>
        <w:rPr>
          <w:rFonts w:ascii="仿宋" w:hAnsi="仿宋" w:eastAsia="仿宋" w:cs="仿宋_GB2312"/>
          <w:b/>
          <w:color w:val="000000" w:themeColor="text1"/>
          <w:kern w:val="2"/>
          <w:sz w:val="32"/>
          <w:szCs w:val="32"/>
          <w14:textFill>
            <w14:solidFill>
              <w14:schemeClr w14:val="tx1"/>
            </w14:solidFill>
          </w14:textFill>
        </w:rPr>
      </w:pPr>
      <w:r>
        <w:rPr>
          <w:rFonts w:hint="eastAsia" w:ascii="仿宋" w:hAnsi="仿宋" w:eastAsia="仿宋" w:cs="仿宋_GB2312"/>
          <w:b/>
          <w:color w:val="000000" w:themeColor="text1"/>
          <w:kern w:val="2"/>
          <w:sz w:val="32"/>
          <w:szCs w:val="32"/>
          <w14:textFill>
            <w14:solidFill>
              <w14:schemeClr w14:val="tx1"/>
            </w14:solidFill>
          </w14:textFill>
        </w:rPr>
        <w:t>6.2政策措施</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本年度，学校在各种政策的制定和落实方面围绕教学活动的正常开展做了部分变革。</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一是强化制度的落地生根，制度不只是存档或挂墙文件，必须落地生根，产生效益，本年度学校按照诊改要求，对照目标和制度，开展内部制度落实督查，按照集团要求，重点加强了目标效益管理和考核，提高了教职工的工作积极性和主动性，规范了教职工按制度办事的规范性。</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二是结合集团的督导制度，制定和落实对师生反馈意见及时整改的制度和措施，对师生反馈的问题及时处理，本年度共处理师生反馈意见10余起。</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三是根据教学需要，加强后勤保障制度的落实。本年度共投入资金</w:t>
      </w:r>
      <w:r>
        <w:rPr>
          <w:rFonts w:hint="eastAsia" w:ascii="仿宋" w:hAnsi="仿宋" w:eastAsia="仿宋" w:cs="仿宋_GB2312"/>
          <w:color w:val="auto"/>
          <w:kern w:val="2"/>
          <w:sz w:val="32"/>
          <w:szCs w:val="32"/>
        </w:rPr>
        <w:t>1000余万元</w:t>
      </w:r>
      <w:r>
        <w:rPr>
          <w:rFonts w:hint="eastAsia" w:ascii="仿宋" w:hAnsi="仿宋" w:eastAsia="仿宋" w:cs="仿宋_GB2312"/>
          <w:color w:val="000000" w:themeColor="text1"/>
          <w:kern w:val="2"/>
          <w:sz w:val="32"/>
          <w:szCs w:val="32"/>
          <w14:textFill>
            <w14:solidFill>
              <w14:schemeClr w14:val="tx1"/>
            </w14:solidFill>
          </w14:textFill>
        </w:rPr>
        <w:t>及时扩建和修缮了教学设施和场地。</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四是深度落实教研制度，本年度继续完善教研组织和活动形式，不走过场，使参加教研活动的教师都有实实在在的进步。</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五是落实各类奖励制度，本年度共评选各类工作者100人次，奖励现金50余万元。</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六是落实专业动态调整机制，完善专业建设，本学年增减专业数量均两个，修改完善教学标准10余门。</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七是加强了教学质量监测力度，专业建设办公室和教务处、学生处形成了教学质量保障联动机制。</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八是完善了教职工培养提高机制，本学年通过教研教改提升业务能力明显的教师23人，通过选拔进入干部后备人才库的教师24人。</w:t>
      </w:r>
    </w:p>
    <w:p>
      <w:pPr>
        <w:pStyle w:val="6"/>
        <w:numPr>
          <w:ilvl w:val="0"/>
          <w:numId w:val="2"/>
        </w:numPr>
        <w:shd w:val="clear" w:color="auto" w:fill="FFFFFF"/>
        <w:spacing w:before="0" w:beforeAutospacing="0" w:after="0" w:afterAutospacing="0"/>
        <w:rPr>
          <w:rFonts w:ascii="仿宋" w:hAnsi="仿宋" w:eastAsia="仿宋" w:cs="仿宋_GB2312"/>
          <w:b/>
          <w:bCs/>
          <w:color w:val="000000" w:themeColor="text1"/>
          <w:kern w:val="2"/>
          <w:sz w:val="36"/>
          <w:szCs w:val="36"/>
          <w14:textFill>
            <w14:solidFill>
              <w14:schemeClr w14:val="tx1"/>
            </w14:solidFill>
          </w14:textFill>
        </w:rPr>
      </w:pPr>
      <w:r>
        <w:rPr>
          <w:rFonts w:hint="eastAsia" w:ascii="仿宋" w:hAnsi="仿宋" w:eastAsia="仿宋" w:cs="仿宋_GB2312"/>
          <w:b/>
          <w:bCs/>
          <w:color w:val="000000" w:themeColor="text1"/>
          <w:kern w:val="2"/>
          <w:sz w:val="36"/>
          <w:szCs w:val="36"/>
          <w14:textFill>
            <w14:solidFill>
              <w14:schemeClr w14:val="tx1"/>
            </w14:solidFill>
          </w14:textFill>
        </w:rPr>
        <w:t>特色创新</w:t>
      </w:r>
    </w:p>
    <w:p>
      <w:pPr>
        <w:pStyle w:val="6"/>
        <w:numPr>
          <w:ilvl w:val="0"/>
          <w:numId w:val="3"/>
        </w:numPr>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专业建设促发展</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本学年学校切实加强了专业建设工作，按照专业建设需要配备和培养专业负责人，以专业建设为抓手带动课程建设提高教学质量。本年度各专业负责人通过开展人均两次的说专业说课程等活动，剖析专业和课程，熟悉了专业和课程建设内容，了解了专业和课程建设的途径和方法，分析了专业和课程建设的困难和解决办法，初步明确了专业和课程建设的方向和方法。</w:t>
      </w:r>
    </w:p>
    <w:p>
      <w:pPr>
        <w:pStyle w:val="6"/>
        <w:spacing w:before="0" w:beforeAutospacing="0" w:after="0" w:afterAutospacing="0"/>
        <w:ind w:firstLine="640" w:firstLineChars="200"/>
        <w:jc w:val="both"/>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2、“五声”教育树信心、“五自”管理见成效</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“五声教育”是指用“笑声、歌声、掌声、口号声、感恩声”来教育学生的方式。</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五声教育”是我们针对职业学校学生普遍存在的“缺爱、缺信、缺情、缺勇、缺敬”的“五缺”现象所采取的“缺什么，补什么”的教育方式。实践证明：通过五声教育，我们营造了良好的教育氛围，帮助学生树立了自信，培养了学生的“精气神”，让他们对人生、对未来有了一些好的想法。</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德育工作是一项“活”的工作，它需要积极的情态、健康的内容，但更需要能产生良好效果的方式。职业学校的学生厌学情绪浓，是因为他们的文化基础差；他们的行为习惯差，是因为没有接受过严格的管带和科学的训练。他们之所以“难教难管”，不是抗拒我们的教育内容，而是排斥我们的教育方式。那么，什么样的教育方式是最好的教育方式呢？我们认为“合胃口”的方式才是最好的方式。“五声教育”就是我校在无数个“难教难管”的日子里总结出来的一个“合胃口”的教育方式。</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“五自管理”是指让学生“自我管理、自我教育、自我监督、自我评价、自我服务”的管理方式。</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五自管理”理念的推行是让学生在自主活动中形成良好的道德品质；在参与学校的管理中提高主人翁意识；在“管”和“被管”的过程中学会换位思考；在“事事有人管，人人会管事”的环境里，得到能力的锻炼，尝试到成功的喜悦。</w:t>
      </w:r>
    </w:p>
    <w:p>
      <w:pPr>
        <w:pStyle w:val="6"/>
        <w:shd w:val="clear" w:color="auto" w:fill="FFFFFF"/>
        <w:spacing w:before="0" w:beforeAutospacing="0" w:after="0" w:afterAutospacing="0"/>
        <w:rPr>
          <w:rFonts w:ascii="仿宋" w:hAnsi="仿宋" w:eastAsia="仿宋" w:cs="仿宋_GB2312"/>
          <w:b/>
          <w:bCs/>
          <w:color w:val="000000" w:themeColor="text1"/>
          <w:kern w:val="2"/>
          <w:sz w:val="32"/>
          <w:szCs w:val="32"/>
          <w14:textFill>
            <w14:solidFill>
              <w14:schemeClr w14:val="tx1"/>
            </w14:solidFill>
          </w14:textFill>
        </w:rPr>
      </w:pPr>
      <w:r>
        <w:rPr>
          <w:rFonts w:hint="eastAsia" w:ascii="仿宋" w:hAnsi="仿宋" w:eastAsia="仿宋" w:cs="仿宋_GB2312"/>
          <w:b/>
          <w:bCs/>
          <w:color w:val="000000" w:themeColor="text1"/>
          <w:kern w:val="2"/>
          <w:sz w:val="32"/>
          <w:szCs w:val="32"/>
          <w14:textFill>
            <w14:solidFill>
              <w14:schemeClr w14:val="tx1"/>
            </w14:solidFill>
          </w14:textFill>
        </w:rPr>
        <w:t>案例一：</w:t>
      </w:r>
    </w:p>
    <w:p>
      <w:pPr>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探索校企合作、产教融合的办学模式</w:t>
      </w:r>
    </w:p>
    <w:p>
      <w:pP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一、实施背景</w:t>
      </w:r>
    </w:p>
    <w:p>
      <w:pPr>
        <w:ind w:firstLine="64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职业教育实际上是从业前的教育，如何让学生的就业观与用人单位的用人观相吻合，这是当前职业教育工作者需要探讨的问题。学校首先要确立“以企业为中心”的观念，一切以社会需要和企业需要为准则，致力于发挥学校的优势和潜力去解决企业用人需求的问题。因此，加强校企合作，推进产教融合，实现校企双赢，是促进职业技术教育改革和发展的必由之路，是培养紧缺型技能实用人才强劲动力。</w:t>
      </w:r>
    </w:p>
    <w:p>
      <w:pPr>
        <w:ind w:firstLine="64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位于南充嘉陵区的吉利四川商用车有限公司，决定遴选优秀的职业学校作为人才储备基地，我校于2016年9月开始筹备，2017年6月通过吉利四川商用车有限公司考察，被授予“吉利汽车人才培养基地” （授牌仪式见图11-1），决定于2017年9月组建“吉利工匠”远程班并授牌（见图11-2），同时为新建班级提供伍仟元奖学金。2020年12月吉利控股集团“吉时雨精准扶贫项目”在我校进行捐赠仪式。（见图11-3）</w:t>
      </w:r>
    </w:p>
    <w:p>
      <w:pPr>
        <w:rPr>
          <w:rFonts w:ascii="仿宋" w:hAnsi="仿宋" w:eastAsia="仿宋" w:cs="宋体"/>
          <w:color w:val="000000" w:themeColor="text1"/>
          <w:szCs w:val="21"/>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图11-1：</w:t>
      </w:r>
      <w:r>
        <w:rPr>
          <w:rFonts w:hint="eastAsia" w:ascii="仿宋" w:hAnsi="仿宋" w:eastAsia="仿宋" w:cs="宋体"/>
          <w:color w:val="000000" w:themeColor="text1"/>
          <w:szCs w:val="21"/>
          <w14:textFill>
            <w14:solidFill>
              <w14:schemeClr w14:val="tx1"/>
            </w14:solidFill>
          </w14:textFill>
        </w:rPr>
        <w:t>吉利汽车人才培养基地授牌仪式</w:t>
      </w:r>
    </w:p>
    <w:p>
      <w:pPr>
        <w:ind w:firstLine="645"/>
        <w:jc w:val="center"/>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4603115" cy="2695575"/>
            <wp:effectExtent l="0" t="0" r="6985"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2169" cy="2700527"/>
                    </a:xfrm>
                    <a:prstGeom prst="rect">
                      <a:avLst/>
                    </a:prstGeom>
                  </pic:spPr>
                </pic:pic>
              </a:graphicData>
            </a:graphic>
          </wp:inline>
        </w:drawing>
      </w:r>
    </w:p>
    <w:p>
      <w:pPr>
        <w:jc w:val="left"/>
        <w:rPr>
          <w:rFonts w:ascii="仿宋" w:hAnsi="仿宋" w:eastAsia="仿宋"/>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 xml:space="preserve">图11-2  </w:t>
      </w:r>
      <w:r>
        <w:rPr>
          <w:rFonts w:hint="eastAsia" w:ascii="仿宋" w:hAnsi="仿宋" w:eastAsia="仿宋"/>
          <w:bCs/>
          <w:color w:val="000000" w:themeColor="text1"/>
          <w:sz w:val="24"/>
          <w14:textFill>
            <w14:solidFill>
              <w14:schemeClr w14:val="tx1"/>
            </w14:solidFill>
          </w14:textFill>
        </w:rPr>
        <w:t>吉利班 班级</w:t>
      </w:r>
    </w:p>
    <w:p>
      <w:pP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488950</wp:posOffset>
            </wp:positionH>
            <wp:positionV relativeFrom="paragraph">
              <wp:posOffset>26035</wp:posOffset>
            </wp:positionV>
            <wp:extent cx="4615180" cy="2752725"/>
            <wp:effectExtent l="0" t="0" r="13970" b="9525"/>
            <wp:wrapTopAndBottom/>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5180" cy="2752725"/>
                    </a:xfrm>
                    <a:prstGeom prst="rect">
                      <a:avLst/>
                    </a:prstGeom>
                  </pic:spPr>
                </pic:pic>
              </a:graphicData>
            </a:graphic>
          </wp:anchor>
        </w:drawing>
      </w:r>
    </w:p>
    <w:p>
      <w:pPr>
        <w:rPr>
          <w:rFonts w:ascii="仿宋" w:hAnsi="仿宋" w:eastAsia="仿宋" w:cs="宋体"/>
          <w:color w:val="000000" w:themeColor="text1"/>
          <w:szCs w:val="21"/>
          <w14:textFill>
            <w14:solidFill>
              <w14:schemeClr w14:val="tx1"/>
            </w14:solidFill>
          </w14:textFill>
        </w:rPr>
      </w:pPr>
    </w:p>
    <w:p>
      <w:pPr>
        <w:rPr>
          <w:rFonts w:ascii="仿宋" w:hAnsi="仿宋" w:eastAsia="仿宋" w:cs="宋体"/>
          <w:color w:val="000000" w:themeColor="text1"/>
          <w:szCs w:val="21"/>
          <w14:textFill>
            <w14:solidFill>
              <w14:schemeClr w14:val="tx1"/>
            </w14:solidFill>
          </w14:textFill>
        </w:rPr>
      </w:pPr>
    </w:p>
    <w:p>
      <w:pPr>
        <w:jc w:val="left"/>
        <w:rPr>
          <w:rFonts w:ascii="仿宋" w:hAnsi="仿宋" w:eastAsia="仿宋"/>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 xml:space="preserve">图11-3  </w:t>
      </w:r>
      <w:r>
        <w:rPr>
          <w:rFonts w:hint="eastAsia" w:ascii="仿宋" w:hAnsi="仿宋" w:eastAsia="仿宋"/>
          <w:bCs/>
          <w:color w:val="000000" w:themeColor="text1"/>
          <w:sz w:val="24"/>
          <w14:textFill>
            <w14:solidFill>
              <w14:schemeClr w14:val="tx1"/>
            </w14:solidFill>
          </w14:textFill>
        </w:rPr>
        <w:t>教学用车捐赠仪式</w:t>
      </w:r>
    </w:p>
    <w:p>
      <w:pPr>
        <w:pStyle w:val="11"/>
        <w:ind w:firstLine="0" w:firstLineChars="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ascii="仿宋" w:hAnsi="仿宋" w:eastAsia="仿宋"/>
          <w:color w:val="000000" w:themeColor="text1"/>
          <w:sz w:val="32"/>
          <w:szCs w:val="32"/>
          <w14:textFill>
            <w14:solidFill>
              <w14:schemeClr w14:val="tx1"/>
            </w14:solidFill>
          </w14:textFill>
        </w:rPr>
        <w:drawing>
          <wp:inline distT="0" distB="0" distL="114300" distR="114300">
            <wp:extent cx="4696460" cy="3088005"/>
            <wp:effectExtent l="0" t="0" r="8890" b="17145"/>
            <wp:docPr id="2" name="图片 2" descr="QQ图片2002010105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020101051244"/>
                    <pic:cNvPicPr>
                      <a:picLocks noChangeAspect="1"/>
                    </pic:cNvPicPr>
                  </pic:nvPicPr>
                  <pic:blipFill>
                    <a:blip r:embed="rId19"/>
                    <a:stretch>
                      <a:fillRect/>
                    </a:stretch>
                  </pic:blipFill>
                  <pic:spPr>
                    <a:xfrm>
                      <a:off x="0" y="0"/>
                      <a:ext cx="4696460" cy="3088005"/>
                    </a:xfrm>
                    <a:prstGeom prst="rect">
                      <a:avLst/>
                    </a:prstGeom>
                  </pic:spPr>
                </pic:pic>
              </a:graphicData>
            </a:graphic>
          </wp:inline>
        </w:drawing>
      </w:r>
    </w:p>
    <w:p>
      <w:pPr>
        <w:pStyle w:val="11"/>
        <w:numPr>
          <w:ilvl w:val="0"/>
          <w:numId w:val="4"/>
        </w:numPr>
        <w:ind w:firstLineChars="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建设目标</w:t>
      </w:r>
    </w:p>
    <w:p>
      <w:pPr>
        <w:ind w:firstLine="64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通过深入企业一线调研，将企业中的不同岗位工作内容进行汇总，抽离其中的知识要点，以具体的工作任务为引领，深化教学模式改革，邀请企业专家共同制定课程标准、共同撰写人才培养方案、共同编写教材。最终编写出一批具有与企业生产实践相结合的优质教材。</w:t>
      </w:r>
    </w:p>
    <w:p>
      <w:pPr>
        <w:ind w:firstLine="64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聘请企业专家进课堂，改变以往的课堂讲述方式，形成任务驱动，让做、学、教融为一体，切实让学生掌握企业所需技能。并通过多种考核进行学生综合素质评价，择优入职，最终实现校企一体、产教融合的办学新模式。</w:t>
      </w:r>
    </w:p>
    <w:p>
      <w:pPr>
        <w:pStyle w:val="11"/>
        <w:numPr>
          <w:ilvl w:val="0"/>
          <w:numId w:val="4"/>
        </w:numPr>
        <w:ind w:firstLineChars="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实施方案</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1、2017年7月签订现代学徒制校企合作协议</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2、2017年8月，根据职业岗位要求的知识水平、技能等级、培养目标，制定出数学标准、课程设置、教学大纲等。并确定就读层次为大专。</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3、严把招生关，入学前进行严格的笔试、面试、体检，根据“吉</w:t>
      </w:r>
      <w:r>
        <w:rPr>
          <w:rFonts w:hint="eastAsia" w:ascii="仿宋" w:hAnsi="仿宋" w:eastAsia="仿宋"/>
          <w:color w:val="000000" w:themeColor="text1"/>
          <w:sz w:val="32"/>
          <w:szCs w:val="32"/>
          <w14:textFill>
            <w14:solidFill>
              <w14:schemeClr w14:val="tx1"/>
            </w14:solidFill>
          </w14:textFill>
        </w:rPr>
        <w:t>利工匠”远程班</w:t>
      </w:r>
      <w:r>
        <w:rPr>
          <w:rFonts w:hint="eastAsia" w:ascii="仿宋" w:hAnsi="仿宋" w:eastAsia="仿宋" w:cs="宋体"/>
          <w:color w:val="000000" w:themeColor="text1"/>
          <w:sz w:val="32"/>
          <w:szCs w:val="28"/>
          <w14:textFill>
            <w14:solidFill>
              <w14:schemeClr w14:val="tx1"/>
            </w14:solidFill>
          </w14:textFill>
        </w:rPr>
        <w:t>采取的一签三定的运作模式（签订培养协议，定向专业、定向招生、定向就业）于2017年9月组建班级（见图12-1）。</w:t>
      </w:r>
    </w:p>
    <w:p>
      <w:pPr>
        <w:ind w:firstLine="643"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b/>
          <w:color w:val="000000" w:themeColor="text1"/>
          <w:sz w:val="32"/>
          <w:szCs w:val="28"/>
          <w14:textFill>
            <w14:solidFill>
              <w14:schemeClr w14:val="tx1"/>
            </w14:solidFill>
          </w14:textFill>
        </w:rPr>
        <w:t>图12-1：</w:t>
      </w:r>
    </w:p>
    <w:p>
      <w:pPr>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 xml:space="preserve">  </w:t>
      </w:r>
      <w:r>
        <w:rPr>
          <w:rFonts w:ascii="仿宋" w:hAnsi="仿宋" w:eastAsia="仿宋" w:cs="宋体"/>
          <w:color w:val="000000" w:themeColor="text1"/>
          <w:sz w:val="32"/>
          <w:szCs w:val="28"/>
          <w14:textFill>
            <w14:solidFill>
              <w14:schemeClr w14:val="tx1"/>
            </w14:solidFill>
          </w14:textFill>
        </w:rPr>
        <w:drawing>
          <wp:inline distT="0" distB="0" distL="0" distR="0">
            <wp:extent cx="4713605" cy="2345055"/>
            <wp:effectExtent l="0" t="0" r="10795" b="1714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3605" cy="2345055"/>
                    </a:xfrm>
                    <a:prstGeom prst="rect">
                      <a:avLst/>
                    </a:prstGeom>
                  </pic:spPr>
                </pic:pic>
              </a:graphicData>
            </a:graphic>
          </wp:inline>
        </w:drawing>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4、为了突出实用性，学校将以工学交替的“教学工厂”和实践教学的“现场案例分析”的模式，强化训练学生的实际操作能力，同时导入企业要求的必修课（见图12-2）。</w:t>
      </w:r>
    </w:p>
    <w:p>
      <w:pPr>
        <w:ind w:firstLine="643" w:firstLineChars="200"/>
        <w:rPr>
          <w:rFonts w:ascii="仿宋" w:hAnsi="仿宋" w:eastAsia="仿宋" w:cs="宋体"/>
          <w:b/>
          <w:color w:val="000000" w:themeColor="text1"/>
          <w:sz w:val="32"/>
          <w:szCs w:val="28"/>
          <w14:textFill>
            <w14:solidFill>
              <w14:schemeClr w14:val="tx1"/>
            </w14:solidFill>
          </w14:textFill>
        </w:rPr>
      </w:pPr>
      <w:r>
        <w:rPr>
          <w:rFonts w:hint="eastAsia" w:ascii="仿宋" w:hAnsi="仿宋" w:eastAsia="仿宋" w:cs="宋体"/>
          <w:b/>
          <w:color w:val="000000" w:themeColor="text1"/>
          <w:sz w:val="32"/>
          <w:szCs w:val="28"/>
          <w14:textFill>
            <w14:solidFill>
              <w14:schemeClr w14:val="tx1"/>
            </w14:solidFill>
          </w14:textFill>
        </w:rPr>
        <w:t>图12-2：</w:t>
      </w:r>
    </w:p>
    <w:p>
      <w:pPr>
        <w:widowControl/>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bdr w:val="single" w:color="auto" w:sz="4" w:space="0"/>
          <w14:textFill>
            <w14:solidFill>
              <w14:schemeClr w14:val="tx1"/>
            </w14:solidFill>
          </w14:textFill>
        </w:rPr>
        <w:drawing>
          <wp:inline distT="0" distB="0" distL="0" distR="0">
            <wp:extent cx="5195570" cy="1982470"/>
            <wp:effectExtent l="0" t="0" r="5080" b="17780"/>
            <wp:docPr id="24" name="图片 11" descr="C:\Users\Administrator\AppData\Roaming\Tencent\Users\308672387\QQ\WinTemp\RichOle\]{GJQNUOZ{TTD[FWB@%R3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AppData\Roaming\Tencent\Users\308672387\QQ\WinTemp\RichOle\]{GJQNUOZ{TTD[FWB@%R35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95764" cy="1982470"/>
                    </a:xfrm>
                    <a:prstGeom prst="rect">
                      <a:avLst/>
                    </a:prstGeom>
                    <a:noFill/>
                    <a:ln>
                      <a:noFill/>
                    </a:ln>
                  </pic:spPr>
                </pic:pic>
              </a:graphicData>
            </a:graphic>
          </wp:inline>
        </w:drawing>
      </w:r>
    </w:p>
    <w:p>
      <w:pPr>
        <w:widowControl/>
        <w:jc w:val="center"/>
        <w:rPr>
          <w:rFonts w:ascii="仿宋" w:hAnsi="仿宋" w:eastAsia="仿宋" w:cs="宋体"/>
          <w:color w:val="000000" w:themeColor="text1"/>
          <w:kern w:val="0"/>
          <w:sz w:val="24"/>
          <w14:textFill>
            <w14:solidFill>
              <w14:schemeClr w14:val="tx1"/>
            </w14:solidFill>
          </w14:textFill>
        </w:rPr>
      </w:pP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5、学校将根据教学计划及企业的生产计划，安排学生到企业参观，同时进行现场教学。</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6、安排教师下企业实践、锻炼，并</w:t>
      </w:r>
      <w:r>
        <w:rPr>
          <w:rFonts w:hint="eastAsia" w:ascii="仿宋" w:hAnsi="仿宋" w:eastAsia="仿宋"/>
          <w:color w:val="000000" w:themeColor="text1"/>
          <w:sz w:val="32"/>
          <w:szCs w:val="32"/>
          <w14:textFill>
            <w14:solidFill>
              <w14:schemeClr w14:val="tx1"/>
            </w14:solidFill>
          </w14:textFill>
        </w:rPr>
        <w:t>聘请企业专家进课堂，定期召开教学研讨会，总结经验、扬长避短。</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7、学生</w:t>
      </w:r>
      <w:r>
        <w:rPr>
          <w:rFonts w:hint="eastAsia" w:ascii="仿宋" w:hAnsi="仿宋" w:eastAsia="仿宋" w:cs="宋体"/>
          <w:color w:val="000000" w:themeColor="text1"/>
          <w:sz w:val="32"/>
          <w:szCs w:val="28"/>
          <w14:textFill>
            <w14:solidFill>
              <w14:schemeClr w14:val="tx1"/>
            </w14:solidFill>
          </w14:textFill>
        </w:rPr>
        <w:t xml:space="preserve">顶岗实习，必须按企业制度进行严格的考核，学生就业时，也必须进行严格的笔试、面试、体检等。对于成绩特别优秀的学生，可以考虑有晋升机会时优先处理。 </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8、根据专业课程特点，聘请企业行业专家与学校教师共同组建“专业教学指导委员会”。</w:t>
      </w:r>
    </w:p>
    <w:p>
      <w:pP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四、预期成效</w:t>
      </w:r>
    </w:p>
    <w:p>
      <w:pP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（一）企业预期成效</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1、可以解决企业招工难的迫切问题。</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2、可以优先挑选录用顶岗实习中表现出色的学生，有利于提高员工素质，保障产品质量。</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3、联办企业可以利用学校教师的专业优势进行新产品的设计、包装、销售等，增加获利点。</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4、联办企业可以通过设立冠名班等方式，传播企业文化，提升企业品牌和无资产</w:t>
      </w:r>
    </w:p>
    <w:p>
      <w:pP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（二）学校预期成效</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1、学生到企业参加实践教学，可以减少学校对实习实训设备的投入。</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2、企业中具有实践经验的专业实习指导教师的加入，有效的解决了学校对专业人才的需求。</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3、对学校的就业，产生一个品牌效应。</w:t>
      </w:r>
    </w:p>
    <w:p>
      <w:pP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（三）个人预期成效</w:t>
      </w:r>
    </w:p>
    <w:p>
      <w:pPr>
        <w:ind w:firstLine="640" w:firstLineChars="200"/>
        <w:rPr>
          <w:rFonts w:ascii="仿宋" w:hAnsi="仿宋" w:eastAsia="仿宋" w:cs="宋体"/>
          <w:color w:val="000000" w:themeColor="text1"/>
          <w:sz w:val="32"/>
          <w:szCs w:val="28"/>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1、可以实现学与做的真正融合，不至于脱节，为今后的就业、创业打下了坚实的专业技能基础。</w:t>
      </w:r>
    </w:p>
    <w:p>
      <w:pPr>
        <w:ind w:firstLine="640" w:firstLineChars="200"/>
        <w:rPr>
          <w:rFonts w:ascii="仿宋" w:hAnsi="仿宋" w:eastAsia="仿宋"/>
          <w:color w:val="000000" w:themeColor="text1"/>
          <w14:textFill>
            <w14:solidFill>
              <w14:schemeClr w14:val="tx1"/>
            </w14:solidFill>
          </w14:textFill>
        </w:rPr>
      </w:pPr>
      <w:r>
        <w:rPr>
          <w:rFonts w:hint="eastAsia" w:ascii="仿宋" w:hAnsi="仿宋" w:eastAsia="仿宋" w:cs="宋体"/>
          <w:color w:val="000000" w:themeColor="text1"/>
          <w:sz w:val="32"/>
          <w:szCs w:val="28"/>
          <w14:textFill>
            <w14:solidFill>
              <w14:schemeClr w14:val="tx1"/>
            </w14:solidFill>
          </w14:textFill>
        </w:rPr>
        <w:t>2、学生学以致用，与企业无缝对接，毕业即就业，避免了失业的可能。</w:t>
      </w:r>
    </w:p>
    <w:p>
      <w:pPr>
        <w:pStyle w:val="6"/>
        <w:shd w:val="clear" w:color="auto" w:fill="FFFFFF"/>
        <w:spacing w:before="0" w:beforeAutospacing="0" w:after="0" w:afterAutospacing="0"/>
        <w:ind w:firstLine="723" w:firstLineChars="200"/>
        <w:rPr>
          <w:rFonts w:ascii="仿宋" w:hAnsi="仿宋" w:eastAsia="仿宋" w:cs="仿宋_GB2312"/>
          <w:b/>
          <w:bCs/>
          <w:color w:val="000000" w:themeColor="text1"/>
          <w:sz w:val="36"/>
          <w:szCs w:val="36"/>
          <w14:textFill>
            <w14:solidFill>
              <w14:schemeClr w14:val="tx1"/>
            </w14:solidFill>
          </w14:textFill>
        </w:rPr>
      </w:pPr>
      <w:r>
        <w:rPr>
          <w:rFonts w:hint="eastAsia" w:ascii="仿宋" w:hAnsi="仿宋" w:eastAsia="仿宋" w:cs="仿宋_GB2312"/>
          <w:b/>
          <w:bCs/>
          <w:color w:val="000000" w:themeColor="text1"/>
          <w:sz w:val="36"/>
          <w:szCs w:val="36"/>
          <w14:textFill>
            <w14:solidFill>
              <w14:schemeClr w14:val="tx1"/>
            </w14:solidFill>
          </w14:textFill>
        </w:rPr>
        <w:t>八、主要问题和改进措施</w:t>
      </w:r>
    </w:p>
    <w:p>
      <w:pPr>
        <w:pStyle w:val="6"/>
        <w:spacing w:before="0" w:beforeAutospacing="0" w:after="0" w:afterAutospacing="0"/>
        <w:ind w:firstLine="602" w:firstLineChars="20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（一）人才培养中存</w:t>
      </w:r>
      <w:r>
        <w:rPr>
          <w:rFonts w:ascii="仿宋" w:hAnsi="仿宋" w:eastAsia="仿宋"/>
          <w:b/>
          <w:color w:val="000000" w:themeColor="text1"/>
          <w:sz w:val="30"/>
          <w:szCs w:val="30"/>
          <w14:textFill>
            <w14:solidFill>
              <w14:schemeClr w14:val="tx1"/>
            </w14:solidFill>
          </w14:textFill>
        </w:rPr>
        <w:t>在问题</w:t>
      </w:r>
    </w:p>
    <w:p>
      <w:pPr>
        <w:pStyle w:val="6"/>
        <w:shd w:val="clear" w:color="auto" w:fill="FFFFFF"/>
        <w:spacing w:before="0" w:beforeAutospacing="0" w:after="0" w:afterAutospacing="0"/>
        <w:ind w:firstLine="640" w:firstLineChars="200"/>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1、职业教育的技术复杂性，教学设施设备昂贵，教学成本较高，师资数量相对不足和质量相对不高，以及学生文化基础较差，学习积极性不高等是制约职业教育品质的主要因素，需要政府、社会、学校共同解决。</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lang w:val="en-US" w:eastAsia="zh-CN"/>
          <w14:textFill>
            <w14:solidFill>
              <w14:schemeClr w14:val="tx1"/>
            </w14:solidFill>
          </w14:textFill>
        </w:rPr>
        <w:t>2</w:t>
      </w:r>
      <w:r>
        <w:rPr>
          <w:rFonts w:hint="eastAsia" w:ascii="仿宋" w:hAnsi="仿宋" w:eastAsia="仿宋" w:cstheme="minorBidi"/>
          <w:color w:val="000000" w:themeColor="text1"/>
          <w:kern w:val="2"/>
          <w:sz w:val="32"/>
          <w:szCs w:val="32"/>
          <w14:textFill>
            <w14:solidFill>
              <w14:schemeClr w14:val="tx1"/>
            </w14:solidFill>
          </w14:textFill>
        </w:rPr>
        <w:t>、没有构成有效专业群，没有形成专业特色品牌，对学生家长吸引力不够，招生难度大。</w:t>
      </w:r>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lang w:val="en-US" w:eastAsia="zh-CN"/>
          <w14:textFill>
            <w14:solidFill>
              <w14:schemeClr w14:val="tx1"/>
            </w14:solidFill>
          </w14:textFill>
        </w:rPr>
        <w:t>3</w:t>
      </w:r>
      <w:r>
        <w:rPr>
          <w:rFonts w:hint="eastAsia" w:ascii="仿宋" w:hAnsi="仿宋" w:eastAsia="仿宋" w:cstheme="minorBidi"/>
          <w:color w:val="000000" w:themeColor="text1"/>
          <w:kern w:val="2"/>
          <w:sz w:val="32"/>
          <w:szCs w:val="32"/>
          <w14:textFill>
            <w14:solidFill>
              <w14:schemeClr w14:val="tx1"/>
            </w14:solidFill>
          </w14:textFill>
        </w:rPr>
        <w:t>、技能型教师仍有不足，缺少实习实训指导教师和专业课教师。教师队伍还存在着数量、质量、结构、能力水平等方面的不足，“双师型”师资队伍建设还有待加强和提升。</w:t>
      </w:r>
    </w:p>
    <w:p>
      <w:pPr>
        <w:pStyle w:val="6"/>
        <w:spacing w:before="0" w:beforeAutospacing="0" w:after="0" w:afterAutospacing="0"/>
        <w:rPr>
          <w:rFonts w:ascii="仿宋" w:hAnsi="仿宋" w:eastAsia="仿宋"/>
          <w:b/>
          <w:bCs/>
          <w:color w:val="000000" w:themeColor="text1"/>
          <w:sz w:val="30"/>
          <w:szCs w:val="30"/>
          <w14:textFill>
            <w14:solidFill>
              <w14:schemeClr w14:val="tx1"/>
            </w14:solidFill>
          </w14:textFill>
        </w:rPr>
      </w:pPr>
      <w:bookmarkStart w:id="3" w:name="_Toc491878195"/>
      <w:bookmarkStart w:id="4" w:name="_Toc503174900"/>
      <w:r>
        <w:rPr>
          <w:rFonts w:hint="eastAsia" w:ascii="仿宋" w:hAnsi="仿宋" w:eastAsia="仿宋"/>
          <w:b/>
          <w:bCs/>
          <w:color w:val="000000" w:themeColor="text1"/>
          <w:sz w:val="30"/>
          <w:szCs w:val="30"/>
          <w14:textFill>
            <w14:solidFill>
              <w14:schemeClr w14:val="tx1"/>
            </w14:solidFill>
          </w14:textFill>
        </w:rPr>
        <w:t>（二）改进措施</w:t>
      </w:r>
      <w:bookmarkEnd w:id="3"/>
      <w:bookmarkEnd w:id="4"/>
    </w:p>
    <w:p>
      <w:pPr>
        <w:pStyle w:val="6"/>
        <w:spacing w:before="0" w:beforeAutospacing="0" w:after="0" w:afterAutospacing="0"/>
        <w:ind w:firstLine="640" w:firstLineChars="200"/>
        <w:rPr>
          <w:rFonts w:ascii="仿宋" w:hAnsi="仿宋" w:eastAsia="仿宋" w:cstheme="minorBidi"/>
          <w:color w:val="000000" w:themeColor="text1"/>
          <w:kern w:val="2"/>
          <w:sz w:val="32"/>
          <w:szCs w:val="32"/>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1、加强宣传引导，构建良好氛围。通过开展为民服务、校园开放、职业教育政策法规宣传等活动。让社会、学生、家长更全面、更深入地解了我校。</w:t>
      </w:r>
    </w:p>
    <w:p>
      <w:pPr>
        <w:pStyle w:val="6"/>
        <w:spacing w:before="0" w:beforeAutospacing="0" w:after="0" w:afterAutospacing="0"/>
        <w:ind w:firstLine="640" w:firstLineChars="200"/>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theme="minorBidi"/>
          <w:color w:val="000000" w:themeColor="text1"/>
          <w:kern w:val="2"/>
          <w:sz w:val="32"/>
          <w:szCs w:val="32"/>
          <w14:textFill>
            <w14:solidFill>
              <w14:schemeClr w14:val="tx1"/>
            </w14:solidFill>
          </w14:textFill>
        </w:rPr>
        <w:t>2、</w:t>
      </w:r>
      <w:r>
        <w:rPr>
          <w:rFonts w:ascii="仿宋" w:hAnsi="仿宋" w:eastAsia="仿宋" w:cstheme="minorBidi"/>
          <w:color w:val="000000" w:themeColor="text1"/>
          <w:kern w:val="2"/>
          <w:sz w:val="32"/>
          <w:szCs w:val="32"/>
          <w14:textFill>
            <w14:solidFill>
              <w14:schemeClr w14:val="tx1"/>
            </w14:solidFill>
          </w14:textFill>
        </w:rPr>
        <w:t>把握“双师型”教师的内涵</w:t>
      </w:r>
      <w:r>
        <w:rPr>
          <w:rFonts w:hint="eastAsia" w:ascii="仿宋" w:hAnsi="仿宋" w:eastAsia="仿宋" w:cstheme="minorBidi"/>
          <w:color w:val="000000" w:themeColor="text1"/>
          <w:kern w:val="2"/>
          <w:sz w:val="32"/>
          <w:szCs w:val="32"/>
          <w14:textFill>
            <w14:solidFill>
              <w14:schemeClr w14:val="tx1"/>
            </w14:solidFill>
          </w14:textFill>
        </w:rPr>
        <w:t>，加强师资队伍建设。通过对现有教师的培训，更新其职业教育理念，提升其业务水平；建立人才引进机制，吸引优秀的专业技能人才。</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3、以学校发展为出发点，以“校企合作”和“校校合作”为双翼，不断地提高推进科学发展、破解突出问题的能力和水平，不断巩固和扩大学校发展所取得的成果。</w:t>
      </w:r>
    </w:p>
    <w:p>
      <w:pPr>
        <w:ind w:firstLine="640" w:firstLineChars="200"/>
        <w:rPr>
          <w:color w:val="000000" w:themeColor="text1"/>
          <w:sz w:val="3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4、深</w:t>
      </w:r>
      <w:r>
        <w:rPr>
          <w:rFonts w:hint="eastAsia"/>
          <w:color w:val="000000" w:themeColor="text1"/>
          <w:sz w:val="31"/>
          <w14:textFill>
            <w14:solidFill>
              <w14:schemeClr w14:val="tx1"/>
            </w14:solidFill>
          </w14:textFill>
        </w:rPr>
        <w:t>化校企合作，共同设置人才培养方案、共同开发课程、教材、共同组建教学团队、共同建设实习实训平台、共同制定人才培养质量标准，不断提高中职人才培养质量，适应市场需要。</w:t>
      </w:r>
    </w:p>
    <w:p>
      <w:pPr>
        <w:pStyle w:val="6"/>
        <w:spacing w:before="0" w:beforeAutospacing="0" w:after="0" w:afterAutospacing="0"/>
        <w:rPr>
          <w:rFonts w:ascii="仿宋" w:hAnsi="仿宋" w:eastAsia="仿宋" w:cstheme="minorBidi"/>
          <w:color w:val="000000" w:themeColor="text1"/>
          <w:kern w:val="2"/>
          <w:sz w:val="32"/>
          <w:szCs w:val="32"/>
          <w14:textFill>
            <w14:solidFill>
              <w14:schemeClr w14:val="tx1"/>
            </w14:solidFill>
          </w14:textFill>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ihQUM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MnINCLfHhIVLPxl1hJqK4ZgKo2ml8h48vpesh99o+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8ihQUMEBAACOAwAADgAAAAAAAAABACAAAAAeAQAAZHJzL2Uyb0RvYy54bWxQSwUG&#10;AAAAAAYABgBZAQAAUQ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8234F"/>
    <w:multiLevelType w:val="singleLevel"/>
    <w:tmpl w:val="DE58234F"/>
    <w:lvl w:ilvl="0" w:tentative="0">
      <w:start w:val="1"/>
      <w:numFmt w:val="decimal"/>
      <w:suff w:val="nothing"/>
      <w:lvlText w:val="%1、"/>
      <w:lvlJc w:val="left"/>
    </w:lvl>
  </w:abstractNum>
  <w:abstractNum w:abstractNumId="1">
    <w:nsid w:val="E37C3ED7"/>
    <w:multiLevelType w:val="singleLevel"/>
    <w:tmpl w:val="E37C3ED7"/>
    <w:lvl w:ilvl="0" w:tentative="0">
      <w:start w:val="1"/>
      <w:numFmt w:val="chineseCounting"/>
      <w:suff w:val="nothing"/>
      <w:lvlText w:val="%1、"/>
      <w:lvlJc w:val="left"/>
      <w:rPr>
        <w:rFonts w:hint="eastAsia"/>
      </w:rPr>
    </w:lvl>
  </w:abstractNum>
  <w:abstractNum w:abstractNumId="2">
    <w:nsid w:val="1B966E7C"/>
    <w:multiLevelType w:val="multilevel"/>
    <w:tmpl w:val="1B966E7C"/>
    <w:lvl w:ilvl="0" w:tentative="0">
      <w:start w:val="7"/>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9790EF1"/>
    <w:multiLevelType w:val="multilevel"/>
    <w:tmpl w:val="39790EF1"/>
    <w:lvl w:ilvl="0" w:tentative="0">
      <w:start w:val="2"/>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DED"/>
    <w:rsid w:val="000E02C8"/>
    <w:rsid w:val="000E4483"/>
    <w:rsid w:val="00124ACF"/>
    <w:rsid w:val="001B28AC"/>
    <w:rsid w:val="001E03D9"/>
    <w:rsid w:val="00362EBB"/>
    <w:rsid w:val="00630FDA"/>
    <w:rsid w:val="00703AE9"/>
    <w:rsid w:val="007B4CF1"/>
    <w:rsid w:val="007C2828"/>
    <w:rsid w:val="00814DED"/>
    <w:rsid w:val="00833080"/>
    <w:rsid w:val="008D3A1D"/>
    <w:rsid w:val="00A3608F"/>
    <w:rsid w:val="00A743D1"/>
    <w:rsid w:val="00A76891"/>
    <w:rsid w:val="00B224DB"/>
    <w:rsid w:val="00DB20E2"/>
    <w:rsid w:val="00ED5EF7"/>
    <w:rsid w:val="00F41138"/>
    <w:rsid w:val="017B19E1"/>
    <w:rsid w:val="023248EC"/>
    <w:rsid w:val="02631946"/>
    <w:rsid w:val="02A33E3D"/>
    <w:rsid w:val="030B412D"/>
    <w:rsid w:val="03295E11"/>
    <w:rsid w:val="036B0709"/>
    <w:rsid w:val="04765D07"/>
    <w:rsid w:val="04C34EDD"/>
    <w:rsid w:val="04FF32C7"/>
    <w:rsid w:val="057E3E54"/>
    <w:rsid w:val="05CA1D1B"/>
    <w:rsid w:val="06447774"/>
    <w:rsid w:val="07724DBB"/>
    <w:rsid w:val="07CD6F0D"/>
    <w:rsid w:val="085B4C01"/>
    <w:rsid w:val="096F2D92"/>
    <w:rsid w:val="097C505D"/>
    <w:rsid w:val="09A93EBD"/>
    <w:rsid w:val="09B22A1F"/>
    <w:rsid w:val="09D34B78"/>
    <w:rsid w:val="0ACF6914"/>
    <w:rsid w:val="0B6E6FD0"/>
    <w:rsid w:val="0B721D5A"/>
    <w:rsid w:val="0CA02FC7"/>
    <w:rsid w:val="0CDF2D7A"/>
    <w:rsid w:val="0CFF2F43"/>
    <w:rsid w:val="0DBD48EE"/>
    <w:rsid w:val="0E6B6111"/>
    <w:rsid w:val="0EF006AD"/>
    <w:rsid w:val="0F2D4E51"/>
    <w:rsid w:val="0F87568B"/>
    <w:rsid w:val="100A7866"/>
    <w:rsid w:val="10563583"/>
    <w:rsid w:val="105966A4"/>
    <w:rsid w:val="10B963FE"/>
    <w:rsid w:val="10E449A1"/>
    <w:rsid w:val="10FB23C9"/>
    <w:rsid w:val="1101002D"/>
    <w:rsid w:val="12CB32FF"/>
    <w:rsid w:val="12F633B3"/>
    <w:rsid w:val="136543CE"/>
    <w:rsid w:val="140E2322"/>
    <w:rsid w:val="140E381A"/>
    <w:rsid w:val="14C32FEA"/>
    <w:rsid w:val="16675B72"/>
    <w:rsid w:val="166E2877"/>
    <w:rsid w:val="172A5ACC"/>
    <w:rsid w:val="17616632"/>
    <w:rsid w:val="179B18C8"/>
    <w:rsid w:val="17AE2AD0"/>
    <w:rsid w:val="18606326"/>
    <w:rsid w:val="18BD09EF"/>
    <w:rsid w:val="1ADA1804"/>
    <w:rsid w:val="1B3D092D"/>
    <w:rsid w:val="1B5D5D26"/>
    <w:rsid w:val="1B8E69A6"/>
    <w:rsid w:val="1BBD4AA1"/>
    <w:rsid w:val="1CA378BB"/>
    <w:rsid w:val="1CBB5BB3"/>
    <w:rsid w:val="1D241D49"/>
    <w:rsid w:val="1EA729F4"/>
    <w:rsid w:val="1EE87632"/>
    <w:rsid w:val="1EEA32BB"/>
    <w:rsid w:val="1F0826D3"/>
    <w:rsid w:val="1FB4709D"/>
    <w:rsid w:val="20870367"/>
    <w:rsid w:val="210A2E5C"/>
    <w:rsid w:val="2159145F"/>
    <w:rsid w:val="21E04F3B"/>
    <w:rsid w:val="224E3030"/>
    <w:rsid w:val="22B85881"/>
    <w:rsid w:val="22D84F24"/>
    <w:rsid w:val="22E9426F"/>
    <w:rsid w:val="23273ACE"/>
    <w:rsid w:val="236A7B68"/>
    <w:rsid w:val="237F291A"/>
    <w:rsid w:val="24762B9D"/>
    <w:rsid w:val="24BE4CA7"/>
    <w:rsid w:val="24C63D10"/>
    <w:rsid w:val="253233A6"/>
    <w:rsid w:val="25D20584"/>
    <w:rsid w:val="26616B4D"/>
    <w:rsid w:val="26767AAE"/>
    <w:rsid w:val="267D243A"/>
    <w:rsid w:val="269C536D"/>
    <w:rsid w:val="26DC0ADE"/>
    <w:rsid w:val="277A0BDE"/>
    <w:rsid w:val="287D1A4E"/>
    <w:rsid w:val="288D0123"/>
    <w:rsid w:val="28F26C27"/>
    <w:rsid w:val="291B2EB6"/>
    <w:rsid w:val="29545378"/>
    <w:rsid w:val="2988272C"/>
    <w:rsid w:val="2A7518BD"/>
    <w:rsid w:val="2BD91ED3"/>
    <w:rsid w:val="2BFE68C6"/>
    <w:rsid w:val="2C095DBC"/>
    <w:rsid w:val="2C0B11A7"/>
    <w:rsid w:val="2C8E05D7"/>
    <w:rsid w:val="2D0940D4"/>
    <w:rsid w:val="2DAD2CE1"/>
    <w:rsid w:val="2E04016F"/>
    <w:rsid w:val="2F0976F3"/>
    <w:rsid w:val="2F4D2769"/>
    <w:rsid w:val="2F5645B0"/>
    <w:rsid w:val="2F7B29CD"/>
    <w:rsid w:val="2F9A59B2"/>
    <w:rsid w:val="30E97A08"/>
    <w:rsid w:val="311C6223"/>
    <w:rsid w:val="31413BAE"/>
    <w:rsid w:val="318029A7"/>
    <w:rsid w:val="3343518F"/>
    <w:rsid w:val="344678AC"/>
    <w:rsid w:val="345B56ED"/>
    <w:rsid w:val="34643B6B"/>
    <w:rsid w:val="3466157E"/>
    <w:rsid w:val="347033DC"/>
    <w:rsid w:val="35FF5ACF"/>
    <w:rsid w:val="362125D1"/>
    <w:rsid w:val="363B0058"/>
    <w:rsid w:val="36B23D20"/>
    <w:rsid w:val="374B2C9F"/>
    <w:rsid w:val="37705DEE"/>
    <w:rsid w:val="37C47FF8"/>
    <w:rsid w:val="38092BD1"/>
    <w:rsid w:val="396C68B9"/>
    <w:rsid w:val="397B074D"/>
    <w:rsid w:val="39EA6263"/>
    <w:rsid w:val="3A1922D9"/>
    <w:rsid w:val="3C005F02"/>
    <w:rsid w:val="3DB659AE"/>
    <w:rsid w:val="3DCE4041"/>
    <w:rsid w:val="3F352A29"/>
    <w:rsid w:val="40345A66"/>
    <w:rsid w:val="4153050A"/>
    <w:rsid w:val="41EC68D7"/>
    <w:rsid w:val="4222007C"/>
    <w:rsid w:val="42437C27"/>
    <w:rsid w:val="425E1EFA"/>
    <w:rsid w:val="432D3A2B"/>
    <w:rsid w:val="434E6D14"/>
    <w:rsid w:val="437B0FC3"/>
    <w:rsid w:val="443C31CD"/>
    <w:rsid w:val="445339A1"/>
    <w:rsid w:val="448636D4"/>
    <w:rsid w:val="448C7869"/>
    <w:rsid w:val="44B10DB9"/>
    <w:rsid w:val="44B44502"/>
    <w:rsid w:val="45326DE6"/>
    <w:rsid w:val="45590484"/>
    <w:rsid w:val="45E60FA7"/>
    <w:rsid w:val="46070B60"/>
    <w:rsid w:val="46174BC6"/>
    <w:rsid w:val="4670604D"/>
    <w:rsid w:val="46945F96"/>
    <w:rsid w:val="46A11673"/>
    <w:rsid w:val="46B223C4"/>
    <w:rsid w:val="46BB15C7"/>
    <w:rsid w:val="470A6929"/>
    <w:rsid w:val="47196870"/>
    <w:rsid w:val="476A6E5E"/>
    <w:rsid w:val="479054C2"/>
    <w:rsid w:val="486270A0"/>
    <w:rsid w:val="48AD0106"/>
    <w:rsid w:val="49105217"/>
    <w:rsid w:val="498C798D"/>
    <w:rsid w:val="4B810E53"/>
    <w:rsid w:val="4B8855E7"/>
    <w:rsid w:val="4B9E2AFC"/>
    <w:rsid w:val="4BB22CBB"/>
    <w:rsid w:val="4C2E57E4"/>
    <w:rsid w:val="4DA9738E"/>
    <w:rsid w:val="4E4360A4"/>
    <w:rsid w:val="4F7D5C80"/>
    <w:rsid w:val="4FAE24AE"/>
    <w:rsid w:val="50127FF3"/>
    <w:rsid w:val="501A052E"/>
    <w:rsid w:val="50D43221"/>
    <w:rsid w:val="51733E42"/>
    <w:rsid w:val="51A43E3B"/>
    <w:rsid w:val="51B3487A"/>
    <w:rsid w:val="5206749F"/>
    <w:rsid w:val="534E1298"/>
    <w:rsid w:val="53905850"/>
    <w:rsid w:val="53CD2E74"/>
    <w:rsid w:val="55C67272"/>
    <w:rsid w:val="56A60CD6"/>
    <w:rsid w:val="56CB400A"/>
    <w:rsid w:val="57E4517E"/>
    <w:rsid w:val="584B5EA4"/>
    <w:rsid w:val="58540604"/>
    <w:rsid w:val="588D6534"/>
    <w:rsid w:val="589A65CB"/>
    <w:rsid w:val="5A3464BA"/>
    <w:rsid w:val="5A6741EC"/>
    <w:rsid w:val="5AAD10A0"/>
    <w:rsid w:val="5ABD60D7"/>
    <w:rsid w:val="5AEA5304"/>
    <w:rsid w:val="5BEB67CF"/>
    <w:rsid w:val="5C1130D6"/>
    <w:rsid w:val="5C242140"/>
    <w:rsid w:val="5CD965FF"/>
    <w:rsid w:val="5D837AFD"/>
    <w:rsid w:val="5DBF13C8"/>
    <w:rsid w:val="5DD21038"/>
    <w:rsid w:val="5E641370"/>
    <w:rsid w:val="5E852EE1"/>
    <w:rsid w:val="5ED9722D"/>
    <w:rsid w:val="5F9724B6"/>
    <w:rsid w:val="5FDF1CAC"/>
    <w:rsid w:val="60247B6F"/>
    <w:rsid w:val="60603C63"/>
    <w:rsid w:val="606548D6"/>
    <w:rsid w:val="616749ED"/>
    <w:rsid w:val="61CA7ED3"/>
    <w:rsid w:val="62121D13"/>
    <w:rsid w:val="62CE6A1E"/>
    <w:rsid w:val="62D43136"/>
    <w:rsid w:val="62DA3836"/>
    <w:rsid w:val="639F7C65"/>
    <w:rsid w:val="63E92232"/>
    <w:rsid w:val="642A5CE3"/>
    <w:rsid w:val="64AF7C1C"/>
    <w:rsid w:val="650B7A7F"/>
    <w:rsid w:val="6559740C"/>
    <w:rsid w:val="657D3EC4"/>
    <w:rsid w:val="65E2006F"/>
    <w:rsid w:val="664B4F2A"/>
    <w:rsid w:val="66C93503"/>
    <w:rsid w:val="67663379"/>
    <w:rsid w:val="67B9075A"/>
    <w:rsid w:val="67D178EE"/>
    <w:rsid w:val="67FB56BF"/>
    <w:rsid w:val="67FF56CB"/>
    <w:rsid w:val="682B51D4"/>
    <w:rsid w:val="6859266A"/>
    <w:rsid w:val="686D2067"/>
    <w:rsid w:val="68FB2F83"/>
    <w:rsid w:val="69B66CF5"/>
    <w:rsid w:val="69DD613C"/>
    <w:rsid w:val="69ED1B87"/>
    <w:rsid w:val="6A383E7F"/>
    <w:rsid w:val="6AF75D4A"/>
    <w:rsid w:val="6DD802C9"/>
    <w:rsid w:val="6E1D6D46"/>
    <w:rsid w:val="6E24291A"/>
    <w:rsid w:val="6E3117D8"/>
    <w:rsid w:val="6E836897"/>
    <w:rsid w:val="6EBF0BA0"/>
    <w:rsid w:val="6EDB0FA2"/>
    <w:rsid w:val="6EFF7728"/>
    <w:rsid w:val="6FC759D6"/>
    <w:rsid w:val="70DA1ED2"/>
    <w:rsid w:val="70F57D91"/>
    <w:rsid w:val="71514D66"/>
    <w:rsid w:val="71AF508A"/>
    <w:rsid w:val="72A53221"/>
    <w:rsid w:val="732D3315"/>
    <w:rsid w:val="73432B43"/>
    <w:rsid w:val="73C10E4B"/>
    <w:rsid w:val="74223755"/>
    <w:rsid w:val="747E4659"/>
    <w:rsid w:val="74D56542"/>
    <w:rsid w:val="74EC2BD0"/>
    <w:rsid w:val="74FC1E98"/>
    <w:rsid w:val="75455A7D"/>
    <w:rsid w:val="756E4F24"/>
    <w:rsid w:val="75D27FED"/>
    <w:rsid w:val="75FA44B4"/>
    <w:rsid w:val="76981E83"/>
    <w:rsid w:val="773D51E3"/>
    <w:rsid w:val="78CC4187"/>
    <w:rsid w:val="78D97266"/>
    <w:rsid w:val="78F34E97"/>
    <w:rsid w:val="79321817"/>
    <w:rsid w:val="796C3694"/>
    <w:rsid w:val="798B6A3E"/>
    <w:rsid w:val="7A1549B6"/>
    <w:rsid w:val="7A583958"/>
    <w:rsid w:val="7AB31FBF"/>
    <w:rsid w:val="7BA73014"/>
    <w:rsid w:val="7C745732"/>
    <w:rsid w:val="7CE43C22"/>
    <w:rsid w:val="7D706360"/>
    <w:rsid w:val="7E2E5D96"/>
    <w:rsid w:val="7EBF7726"/>
    <w:rsid w:val="7ED25FE3"/>
    <w:rsid w:val="7F417347"/>
    <w:rsid w:val="7F761CFF"/>
    <w:rsid w:val="7F9C7D22"/>
    <w:rsid w:val="7FD62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3"/>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2B2B2B"/>
      <w:u w:val="none"/>
    </w:rPr>
  </w:style>
  <w:style w:type="paragraph" w:styleId="11">
    <w:name w:val="List Paragraph"/>
    <w:basedOn w:val="1"/>
    <w:qFormat/>
    <w:uiPriority w:val="34"/>
    <w:pPr>
      <w:ind w:firstLine="420" w:firstLineChars="200"/>
    </w:pPr>
  </w:style>
  <w:style w:type="character" w:customStyle="1" w:styleId="12">
    <w:name w:val="批注框文本 Char"/>
    <w:basedOn w:val="9"/>
    <w:link w:val="3"/>
    <w:semiHidden/>
    <w:qFormat/>
    <w:uiPriority w:val="99"/>
    <w:rPr>
      <w:sz w:val="18"/>
      <w:szCs w:val="18"/>
    </w:rPr>
  </w:style>
  <w:style w:type="character" w:customStyle="1" w:styleId="13">
    <w:name w:val="标题 2 Char"/>
    <w:basedOn w:val="9"/>
    <w:link w:val="2"/>
    <w:qFormat/>
    <w:uiPriority w:val="0"/>
    <w:rPr>
      <w:rFonts w:ascii="宋体" w:hAnsi="宋体" w:eastAsia="宋体" w:cs="Times New Roman"/>
      <w:b/>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chart" Target="charts/chart9.xml"/><Relationship Id="rId15" Type="http://schemas.openxmlformats.org/officeDocument/2006/relationships/chart" Target="charts/chart8.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5786;&#25913;&#34920;\2020&#35786;&#25913;\7.6.2&#24212;&#23626;&#27605;&#19994;&#29983;&#23601;&#19994;&#24773;&#2091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1150;&#20844;\20&#24180;&#21508;&#19987;&#19994;&#20154;&#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学生情况与上年度相比变化</a:t>
            </a:r>
            <a:endParaRPr lang="zh-CN" altLang="en-US"/>
          </a:p>
          <a:p>
            <a:pPr defTabSz="914400">
              <a:defRPr lang="zh-CN" sz="1400" b="0" i="0" u="none" strike="noStrike" kern="1200" spc="0" baseline="0">
                <a:solidFill>
                  <a:schemeClr val="tx1">
                    <a:lumMod val="65000"/>
                    <a:lumOff val="35000"/>
                  </a:schemeClr>
                </a:solidFill>
                <a:latin typeface="+mn-lt"/>
                <a:ea typeface="+mn-ea"/>
                <a:cs typeface="+mn-cs"/>
              </a:defRPr>
            </a:pPr>
            <a:endParaRPr lang="zh-CN" altLang="en-US"/>
          </a:p>
        </c:rich>
      </c:tx>
      <c:layout/>
      <c:overlay val="0"/>
      <c:spPr>
        <a:noFill/>
        <a:ln>
          <a:noFill/>
        </a:ln>
        <a:effectLst/>
      </c:spPr>
    </c:title>
    <c:autoTitleDeleted val="0"/>
    <c:plotArea>
      <c:layout/>
      <c:barChart>
        <c:barDir val="col"/>
        <c:grouping val="clustered"/>
        <c:varyColors val="0"/>
        <c:ser>
          <c:idx val="0"/>
          <c:order val="0"/>
          <c:tx>
            <c:strRef>
              <c:f>[工作簿1]Sheet1!$A$6</c:f>
              <c:strCache>
                <c:ptCount val="1"/>
                <c:pt idx="0">
                  <c:v>2019</c:v>
                </c:pt>
              </c:strCache>
            </c:strRef>
          </c:tx>
          <c:spPr>
            <a:solidFill>
              <a:schemeClr val="accent1"/>
            </a:solidFill>
            <a:ln>
              <a:noFill/>
            </a:ln>
            <a:effectLst/>
          </c:spPr>
          <c:invertIfNegative val="0"/>
          <c:dLbls>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489</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[工作簿1]Sheet1!$B$5:$E$5</c:f>
              <c:strCache>
                <c:ptCount val="4"/>
                <c:pt idx="0">
                  <c:v>入校人数</c:v>
                </c:pt>
                <c:pt idx="1">
                  <c:v>就业人数</c:v>
                </c:pt>
                <c:pt idx="2">
                  <c:v>毕业人数</c:v>
                </c:pt>
                <c:pt idx="3">
                  <c:v>职业资格证书考证人数</c:v>
                </c:pt>
              </c:strCache>
            </c:strRef>
          </c:cat>
          <c:val>
            <c:numRef>
              <c:f>[工作簿1]Sheet1!$B$6:$E$6</c:f>
              <c:numCache>
                <c:formatCode>General</c:formatCode>
                <c:ptCount val="4"/>
                <c:pt idx="0">
                  <c:v>1970</c:v>
                </c:pt>
                <c:pt idx="1">
                  <c:v>495</c:v>
                </c:pt>
                <c:pt idx="2">
                  <c:v>500</c:v>
                </c:pt>
                <c:pt idx="3">
                  <c:v>492</c:v>
                </c:pt>
              </c:numCache>
            </c:numRef>
          </c:val>
        </c:ser>
        <c:ser>
          <c:idx val="1"/>
          <c:order val="1"/>
          <c:tx>
            <c:strRef>
              <c:f>[工作簿1]Sheet1!$A$7</c:f>
              <c:strCache>
                <c:ptCount val="1"/>
                <c:pt idx="0">
                  <c:v>2020</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[工作簿1]Sheet1!$B$5:$E$5</c:f>
              <c:strCache>
                <c:ptCount val="4"/>
                <c:pt idx="0">
                  <c:v>入校人数</c:v>
                </c:pt>
                <c:pt idx="1">
                  <c:v>就业人数</c:v>
                </c:pt>
                <c:pt idx="2">
                  <c:v>毕业人数</c:v>
                </c:pt>
                <c:pt idx="3">
                  <c:v>职业资格证书考证人数</c:v>
                </c:pt>
              </c:strCache>
            </c:strRef>
          </c:cat>
          <c:val>
            <c:numRef>
              <c:f>[工作簿1]Sheet1!$B$7:$E$7</c:f>
              <c:numCache>
                <c:formatCode>General</c:formatCode>
                <c:ptCount val="4"/>
                <c:pt idx="0">
                  <c:v>2873</c:v>
                </c:pt>
                <c:pt idx="1">
                  <c:v>817</c:v>
                </c:pt>
                <c:pt idx="2">
                  <c:v>822</c:v>
                </c:pt>
                <c:pt idx="3">
                  <c:v>816</c:v>
                </c:pt>
              </c:numCache>
            </c:numRef>
          </c:val>
        </c:ser>
        <c:dLbls>
          <c:showLegendKey val="0"/>
          <c:showVal val="1"/>
          <c:showCatName val="0"/>
          <c:showSerName val="0"/>
          <c:showPercent val="0"/>
          <c:showBubbleSize val="0"/>
        </c:dLbls>
        <c:gapWidth val="219"/>
        <c:overlap val="-27"/>
        <c:axId val="230254080"/>
        <c:axId val="275335424"/>
      </c:barChart>
      <c:catAx>
        <c:axId val="23025408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5335424"/>
        <c:crosses val="autoZero"/>
        <c:auto val="1"/>
        <c:lblAlgn val="ctr"/>
        <c:lblOffset val="100"/>
        <c:noMultiLvlLbl val="0"/>
      </c:catAx>
      <c:valAx>
        <c:axId val="2753354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2540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2020</a:t>
            </a:r>
            <a:r>
              <a:rPr lang="zh-CN" altLang="en-US"/>
              <a:t>年度设备总价值（万元）</a:t>
            </a:r>
            <a:endParaRPr lang="zh-CN" altLang="en-US"/>
          </a:p>
        </c:rich>
      </c:tx>
      <c:layout>
        <c:manualLayout>
          <c:xMode val="edge"/>
          <c:yMode val="edge"/>
          <c:x val="0.200221811460259"/>
          <c:y val="0"/>
        </c:manualLayout>
      </c:layout>
      <c:overlay val="0"/>
    </c:title>
    <c:autoTitleDeleted val="0"/>
    <c:plotArea>
      <c:layout>
        <c:manualLayout>
          <c:layoutTarget val="inner"/>
          <c:xMode val="edge"/>
          <c:yMode val="edge"/>
          <c:x val="0.134977875058037"/>
          <c:y val="0.109401526047634"/>
          <c:w val="0.515474572898604"/>
          <c:h val="0.767392636291981"/>
        </c:manualLayout>
      </c:layout>
      <c:barChart>
        <c:barDir val="col"/>
        <c:grouping val="clustered"/>
        <c:varyColors val="0"/>
        <c:ser>
          <c:idx val="0"/>
          <c:order val="0"/>
          <c:tx>
            <c:strRef>
              <c:f>Sheet1!$B$1</c:f>
              <c:strCache>
                <c:ptCount val="1"/>
                <c:pt idx="0">
                  <c:v>2020年设备总价值</c:v>
                </c:pt>
              </c:strCache>
            </c:strRef>
          </c:tx>
          <c:spPr>
            <a:solidFill>
              <a:srgbClr val="FF0000"/>
            </a:solidFill>
          </c:spPr>
          <c:invertIfNegative val="0"/>
          <c:dPt>
            <c:idx val="0"/>
            <c:invertIfNegative val="0"/>
            <c:bubble3D val="0"/>
            <c:spPr>
              <a:solidFill>
                <a:srgbClr val="00B0F0"/>
              </a:solidFill>
            </c:spPr>
          </c:dPt>
          <c:dLbls>
            <c:delete val="1"/>
          </c:dLbls>
          <c:cat>
            <c:numRef>
              <c:f>Sheet1!$A$2:$A$5</c:f>
              <c:numCache>
                <c:formatCode>General</c:formatCode>
                <c:ptCount val="4"/>
                <c:pt idx="0">
                  <c:v>2019</c:v>
                </c:pt>
                <c:pt idx="1">
                  <c:v>2020</c:v>
                </c:pt>
              </c:numCache>
            </c:numRef>
          </c:cat>
          <c:val>
            <c:numRef>
              <c:f>Sheet1!$B$2:$B$5</c:f>
              <c:numCache>
                <c:formatCode>General</c:formatCode>
                <c:ptCount val="4"/>
                <c:pt idx="0">
                  <c:v>1583.9</c:v>
                </c:pt>
                <c:pt idx="1">
                  <c:v>1586.4</c:v>
                </c:pt>
              </c:numCache>
            </c:numRef>
          </c:val>
        </c:ser>
        <c:dLbls>
          <c:showLegendKey val="0"/>
          <c:showVal val="0"/>
          <c:showCatName val="0"/>
          <c:showSerName val="0"/>
          <c:showPercent val="0"/>
          <c:showBubbleSize val="0"/>
        </c:dLbls>
        <c:gapWidth val="150"/>
        <c:axId val="217899008"/>
        <c:axId val="275336576"/>
      </c:barChart>
      <c:catAx>
        <c:axId val="2178990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336576"/>
        <c:crosses val="autoZero"/>
        <c:auto val="1"/>
        <c:lblAlgn val="ctr"/>
        <c:lblOffset val="100"/>
        <c:noMultiLvlLbl val="0"/>
      </c:catAx>
      <c:valAx>
        <c:axId val="2753365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789900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2020</a:t>
            </a:r>
            <a:r>
              <a:rPr lang="zh-CN" altLang="en-US"/>
              <a:t>年度生均设备价值（元）</a:t>
            </a:r>
            <a:endParaRPr lang="zh-CN" altLang="en-US"/>
          </a:p>
        </c:rich>
      </c:tx>
      <c:layout/>
      <c:overlay val="0"/>
    </c:title>
    <c:autoTitleDeleted val="0"/>
    <c:plotArea>
      <c:layout>
        <c:manualLayout>
          <c:layoutTarget val="inner"/>
          <c:xMode val="edge"/>
          <c:yMode val="edge"/>
          <c:x val="0.073358221340012"/>
          <c:y val="0.191452814666823"/>
          <c:w val="0.892240708560766"/>
          <c:h val="0.728463437104884"/>
        </c:manualLayout>
      </c:layout>
      <c:barChart>
        <c:barDir val="col"/>
        <c:grouping val="clustered"/>
        <c:varyColors val="0"/>
        <c:ser>
          <c:idx val="0"/>
          <c:order val="0"/>
          <c:tx>
            <c:strRef>
              <c:f>Sheet1!$B$1</c:f>
              <c:strCache>
                <c:ptCount val="1"/>
                <c:pt idx="0">
                  <c:v>2020年度生均工位数</c:v>
                </c:pt>
              </c:strCache>
            </c:strRef>
          </c:tx>
          <c:invertIfNegative val="0"/>
          <c:dPt>
            <c:idx val="1"/>
            <c:invertIfNegative val="0"/>
            <c:bubble3D val="0"/>
            <c:spPr>
              <a:solidFill>
                <a:srgbClr val="FF0000"/>
              </a:solidFill>
            </c:spPr>
          </c:dPt>
          <c:dLbls>
            <c:delete val="1"/>
          </c:dLbls>
          <c:cat>
            <c:numRef>
              <c:f>Sheet1!$A$2:$A$5</c:f>
              <c:numCache>
                <c:formatCode>General</c:formatCode>
                <c:ptCount val="4"/>
                <c:pt idx="0">
                  <c:v>2019</c:v>
                </c:pt>
                <c:pt idx="1">
                  <c:v>2020</c:v>
                </c:pt>
              </c:numCache>
            </c:numRef>
          </c:cat>
          <c:val>
            <c:numRef>
              <c:f>Sheet1!$B$2:$B$5</c:f>
              <c:numCache>
                <c:formatCode>General</c:formatCode>
                <c:ptCount val="4"/>
                <c:pt idx="0">
                  <c:v>5045.9</c:v>
                </c:pt>
                <c:pt idx="1">
                  <c:v>3063.7</c:v>
                </c:pt>
              </c:numCache>
            </c:numRef>
          </c:val>
        </c:ser>
        <c:dLbls>
          <c:showLegendKey val="0"/>
          <c:showVal val="0"/>
          <c:showCatName val="0"/>
          <c:showSerName val="0"/>
          <c:showPercent val="0"/>
          <c:showBubbleSize val="0"/>
        </c:dLbls>
        <c:gapWidth val="150"/>
        <c:axId val="217899520"/>
        <c:axId val="275338304"/>
      </c:barChart>
      <c:catAx>
        <c:axId val="21789952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338304"/>
        <c:crosses val="autoZero"/>
        <c:auto val="1"/>
        <c:lblAlgn val="ctr"/>
        <c:lblOffset val="100"/>
        <c:noMultiLvlLbl val="0"/>
      </c:catAx>
      <c:valAx>
        <c:axId val="2753383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789952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2020</a:t>
            </a:r>
            <a:r>
              <a:rPr lang="zh-CN" altLang="en-US"/>
              <a:t>年度工位数（个）</a:t>
            </a:r>
            <a:endParaRPr lang="zh-CN" altLang="en-US"/>
          </a:p>
        </c:rich>
      </c:tx>
      <c:layout/>
      <c:overlay val="0"/>
    </c:title>
    <c:autoTitleDeleted val="0"/>
    <c:plotArea>
      <c:layout>
        <c:manualLayout>
          <c:layoutTarget val="inner"/>
          <c:xMode val="edge"/>
          <c:yMode val="edge"/>
          <c:x val="0.0762973497326106"/>
          <c:y val="0.199207885392035"/>
          <c:w val="0.891543988540423"/>
          <c:h val="0.718019655497632"/>
        </c:manualLayout>
      </c:layout>
      <c:barChart>
        <c:barDir val="col"/>
        <c:grouping val="stacked"/>
        <c:varyColors val="0"/>
        <c:ser>
          <c:idx val="0"/>
          <c:order val="0"/>
          <c:tx>
            <c:strRef>
              <c:f>Sheet1!$B$1</c:f>
              <c:strCache>
                <c:ptCount val="1"/>
                <c:pt idx="0">
                  <c:v>2019年度生均工位数</c:v>
                </c:pt>
              </c:strCache>
            </c:strRef>
          </c:tx>
          <c:invertIfNegative val="0"/>
          <c:dPt>
            <c:idx val="1"/>
            <c:invertIfNegative val="0"/>
            <c:bubble3D val="0"/>
            <c:spPr>
              <a:solidFill>
                <a:srgbClr val="FF0000"/>
              </a:solidFill>
            </c:spPr>
          </c:dPt>
          <c:dLbls>
            <c:delete val="1"/>
          </c:dLbls>
          <c:cat>
            <c:numRef>
              <c:f>Sheet1!$A$2:$A$5</c:f>
              <c:numCache>
                <c:formatCode>General</c:formatCode>
                <c:ptCount val="4"/>
                <c:pt idx="0">
                  <c:v>2019</c:v>
                </c:pt>
                <c:pt idx="1">
                  <c:v>2020</c:v>
                </c:pt>
              </c:numCache>
            </c:numRef>
          </c:cat>
          <c:val>
            <c:numRef>
              <c:f>Sheet1!$B$2:$B$5</c:f>
              <c:numCache>
                <c:formatCode>General</c:formatCode>
                <c:ptCount val="4"/>
                <c:pt idx="0">
                  <c:v>1122</c:v>
                </c:pt>
                <c:pt idx="1">
                  <c:v>1122</c:v>
                </c:pt>
              </c:numCache>
            </c:numRef>
          </c:val>
        </c:ser>
        <c:ser>
          <c:idx val="1"/>
          <c:order val="1"/>
          <c:tx>
            <c:strRef>
              <c:f>Sheet1!$C$1</c:f>
              <c:strCache>
                <c:ptCount val="1"/>
                <c:pt idx="0">
                  <c:v>2018年纸质图书</c:v>
                </c:pt>
              </c:strCache>
            </c:strRef>
          </c:tx>
          <c:invertIfNegative val="0"/>
          <c:dLbls>
            <c:delete val="1"/>
          </c:dLbls>
          <c:cat>
            <c:numRef>
              <c:f>Sheet1!$A$2:$A$5</c:f>
              <c:numCache>
                <c:formatCode>General</c:formatCode>
                <c:ptCount val="4"/>
                <c:pt idx="0">
                  <c:v>2019</c:v>
                </c:pt>
                <c:pt idx="1">
                  <c:v>2020</c:v>
                </c:pt>
              </c:numCache>
            </c:numRef>
          </c:cat>
          <c:val>
            <c:numRef>
              <c:f>Sheet1!$C$2:$C$5</c:f>
              <c:numCache>
                <c:formatCode>General</c:formatCode>
                <c:ptCount val="4"/>
              </c:numCache>
            </c:numRef>
          </c:val>
        </c:ser>
        <c:dLbls>
          <c:showLegendKey val="0"/>
          <c:showVal val="0"/>
          <c:showCatName val="0"/>
          <c:showSerName val="0"/>
          <c:showPercent val="0"/>
          <c:showBubbleSize val="0"/>
        </c:dLbls>
        <c:gapWidth val="150"/>
        <c:overlap val="100"/>
        <c:axId val="217902080"/>
        <c:axId val="275340032"/>
      </c:barChart>
      <c:catAx>
        <c:axId val="21790208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340032"/>
        <c:crosses val="autoZero"/>
        <c:auto val="1"/>
        <c:lblAlgn val="ctr"/>
        <c:lblOffset val="100"/>
        <c:noMultiLvlLbl val="0"/>
      </c:catAx>
      <c:valAx>
        <c:axId val="2753400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790208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2020</a:t>
            </a:r>
            <a:r>
              <a:rPr lang="zh-CN" altLang="en-US"/>
              <a:t>年纸质图书（册）</a:t>
            </a:r>
            <a:endParaRPr lang="zh-CN" altLang="en-US"/>
          </a:p>
        </c:rich>
      </c:tx>
      <c:layout/>
      <c:overlay val="0"/>
    </c:title>
    <c:autoTitleDeleted val="0"/>
    <c:plotArea>
      <c:layout>
        <c:manualLayout>
          <c:layoutTarget val="inner"/>
          <c:xMode val="edge"/>
          <c:yMode val="edge"/>
          <c:x val="0.0869931872234382"/>
          <c:y val="0.146553228834012"/>
          <c:w val="0.87454674663862"/>
          <c:h val="0.717010636828291"/>
        </c:manualLayout>
      </c:layout>
      <c:barChart>
        <c:barDir val="col"/>
        <c:grouping val="stacked"/>
        <c:varyColors val="0"/>
        <c:ser>
          <c:idx val="0"/>
          <c:order val="0"/>
          <c:tx>
            <c:strRef>
              <c:f>Sheet1!$B$1</c:f>
              <c:strCache>
                <c:ptCount val="1"/>
                <c:pt idx="0">
                  <c:v>2020年纸质图书（册）</c:v>
                </c:pt>
              </c:strCache>
            </c:strRef>
          </c:tx>
          <c:invertIfNegative val="0"/>
          <c:dPt>
            <c:idx val="1"/>
            <c:invertIfNegative val="0"/>
            <c:bubble3D val="0"/>
            <c:spPr>
              <a:solidFill>
                <a:srgbClr val="FF0000"/>
              </a:solidFill>
            </c:spPr>
          </c:dPt>
          <c:dLbls>
            <c:delete val="1"/>
          </c:dLbls>
          <c:cat>
            <c:numRef>
              <c:f>Sheet1!$A$2:$A$5</c:f>
              <c:numCache>
                <c:formatCode>General</c:formatCode>
                <c:ptCount val="4"/>
                <c:pt idx="0">
                  <c:v>2019</c:v>
                </c:pt>
                <c:pt idx="1">
                  <c:v>2020</c:v>
                </c:pt>
              </c:numCache>
            </c:numRef>
          </c:cat>
          <c:val>
            <c:numRef>
              <c:f>Sheet1!$B$2:$B$5</c:f>
              <c:numCache>
                <c:formatCode>General</c:formatCode>
                <c:ptCount val="4"/>
                <c:pt idx="0">
                  <c:v>73077</c:v>
                </c:pt>
                <c:pt idx="1">
                  <c:v>79077</c:v>
                </c:pt>
              </c:numCache>
            </c:numRef>
          </c:val>
        </c:ser>
        <c:dLbls>
          <c:showLegendKey val="0"/>
          <c:showVal val="0"/>
          <c:showCatName val="0"/>
          <c:showSerName val="0"/>
          <c:showPercent val="0"/>
          <c:showBubbleSize val="0"/>
        </c:dLbls>
        <c:gapWidth val="150"/>
        <c:overlap val="100"/>
        <c:axId val="217902592"/>
        <c:axId val="275432576"/>
      </c:barChart>
      <c:catAx>
        <c:axId val="21790259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432576"/>
        <c:crosses val="autoZero"/>
        <c:auto val="1"/>
        <c:lblAlgn val="ctr"/>
        <c:lblOffset val="100"/>
        <c:noMultiLvlLbl val="0"/>
      </c:catAx>
      <c:valAx>
        <c:axId val="2754325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79025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学生素质情况对比图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[工作簿1]Sheet1!$A$10</c:f>
              <c:strCache>
                <c:ptCount val="1"/>
                <c:pt idx="0">
                  <c:v>2019</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[工作簿1]Sheet1!$B$9:$F$9</c:f>
              <c:strCache>
                <c:ptCount val="5"/>
                <c:pt idx="0">
                  <c:v>文化课合格率</c:v>
                </c:pt>
                <c:pt idx="1">
                  <c:v>体质测评合格率</c:v>
                </c:pt>
                <c:pt idx="2">
                  <c:v>专业技能合格率</c:v>
                </c:pt>
                <c:pt idx="3">
                  <c:v>职业资格证考证率</c:v>
                </c:pt>
                <c:pt idx="4">
                  <c:v>一次性毕业率</c:v>
                </c:pt>
              </c:strCache>
            </c:strRef>
          </c:cat>
          <c:val>
            <c:numRef>
              <c:f>[工作簿1]Sheet1!$B$10:$F$10</c:f>
              <c:numCache>
                <c:formatCode>0%</c:formatCode>
                <c:ptCount val="5"/>
                <c:pt idx="0">
                  <c:v>0.93</c:v>
                </c:pt>
                <c:pt idx="1">
                  <c:v>0.98</c:v>
                </c:pt>
                <c:pt idx="2">
                  <c:v>0.84</c:v>
                </c:pt>
                <c:pt idx="3">
                  <c:v>0.83</c:v>
                </c:pt>
                <c:pt idx="4">
                  <c:v>0.94</c:v>
                </c:pt>
              </c:numCache>
            </c:numRef>
          </c:val>
        </c:ser>
        <c:ser>
          <c:idx val="1"/>
          <c:order val="1"/>
          <c:tx>
            <c:strRef>
              <c:f>[工作簿1]Sheet1!$A$11</c:f>
              <c:strCache>
                <c:ptCount val="1"/>
                <c:pt idx="0">
                  <c:v>2020</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[工作簿1]Sheet1!$B$9:$F$9</c:f>
              <c:strCache>
                <c:ptCount val="5"/>
                <c:pt idx="0">
                  <c:v>文化课合格率</c:v>
                </c:pt>
                <c:pt idx="1">
                  <c:v>体质测评合格率</c:v>
                </c:pt>
                <c:pt idx="2">
                  <c:v>专业技能合格率</c:v>
                </c:pt>
                <c:pt idx="3">
                  <c:v>职业资格证考证率</c:v>
                </c:pt>
                <c:pt idx="4">
                  <c:v>一次性毕业率</c:v>
                </c:pt>
              </c:strCache>
            </c:strRef>
          </c:cat>
          <c:val>
            <c:numRef>
              <c:f>[工作簿1]Sheet1!$B$11:$F$11</c:f>
              <c:numCache>
                <c:formatCode>0%</c:formatCode>
                <c:ptCount val="5"/>
                <c:pt idx="0">
                  <c:v>0.92</c:v>
                </c:pt>
                <c:pt idx="1">
                  <c:v>0.91</c:v>
                </c:pt>
                <c:pt idx="2">
                  <c:v>0.95</c:v>
                </c:pt>
                <c:pt idx="3">
                  <c:v>0.94</c:v>
                </c:pt>
                <c:pt idx="4">
                  <c:v>0.95</c:v>
                </c:pt>
              </c:numCache>
            </c:numRef>
          </c:val>
        </c:ser>
        <c:dLbls>
          <c:showLegendKey val="0"/>
          <c:showVal val="1"/>
          <c:showCatName val="0"/>
          <c:showSerName val="0"/>
          <c:showPercent val="0"/>
          <c:showBubbleSize val="0"/>
        </c:dLbls>
        <c:gapWidth val="219"/>
        <c:overlap val="-27"/>
        <c:axId val="258793984"/>
        <c:axId val="275435456"/>
      </c:barChart>
      <c:catAx>
        <c:axId val="25879398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5435456"/>
        <c:crosses val="autoZero"/>
        <c:auto val="1"/>
        <c:lblAlgn val="ctr"/>
        <c:lblOffset val="100"/>
        <c:noMultiLvlLbl val="0"/>
      </c:catAx>
      <c:valAx>
        <c:axId val="2754354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87939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问卷调查满意度情况对比</a:t>
            </a:r>
            <a:endParaRPr lang="zh-CN" altLang="en-US" b="1"/>
          </a:p>
          <a:p>
            <a:pPr defTabSz="914400">
              <a:defRPr lang="zh-CN" sz="1400" b="0" i="0" u="none" strike="noStrike" kern="1200" spc="0" baseline="0">
                <a:solidFill>
                  <a:schemeClr val="tx1">
                    <a:lumMod val="65000"/>
                    <a:lumOff val="35000"/>
                  </a:schemeClr>
                </a:solidFill>
                <a:latin typeface="+mn-lt"/>
                <a:ea typeface="+mn-ea"/>
                <a:cs typeface="+mn-cs"/>
              </a:defRPr>
            </a:pPr>
            <a:endParaRPr lang="zh-CN" altLang="en-US" b="1"/>
          </a:p>
        </c:rich>
      </c:tx>
      <c:layout/>
      <c:overlay val="0"/>
      <c:spPr>
        <a:noFill/>
        <a:ln>
          <a:noFill/>
        </a:ln>
        <a:effectLst/>
      </c:spPr>
    </c:title>
    <c:autoTitleDeleted val="0"/>
    <c:plotArea>
      <c:layout/>
      <c:barChart>
        <c:barDir val="col"/>
        <c:grouping val="clustered"/>
        <c:varyColors val="0"/>
        <c:ser>
          <c:idx val="0"/>
          <c:order val="0"/>
          <c:tx>
            <c:strRef>
              <c:f>[工作簿1]Sheet1!$A$10</c:f>
              <c:strCache>
                <c:ptCount val="1"/>
                <c:pt idx="0">
                  <c:v>2019</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[工作簿1]Sheet1!$B$9:$I$9</c:f>
              <c:strCache>
                <c:ptCount val="8"/>
                <c:pt idx="0">
                  <c:v>理论学习满意度</c:v>
                </c:pt>
                <c:pt idx="1">
                  <c:v>专业学习满意度</c:v>
                </c:pt>
                <c:pt idx="2">
                  <c:v>校内实习满意度</c:v>
                </c:pt>
                <c:pt idx="3">
                  <c:v>校外实习满意度</c:v>
                </c:pt>
                <c:pt idx="4">
                  <c:v>校园文化社团活动满意度</c:v>
                </c:pt>
                <c:pt idx="5">
                  <c:v>生活满意度</c:v>
                </c:pt>
                <c:pt idx="6">
                  <c:v>安全满意度</c:v>
                </c:pt>
                <c:pt idx="7">
                  <c:v>毕业生满意度</c:v>
                </c:pt>
              </c:strCache>
            </c:strRef>
          </c:cat>
          <c:val>
            <c:numRef>
              <c:f>[工作簿1]Sheet1!$B$10:$I$10</c:f>
              <c:numCache>
                <c:formatCode>0%</c:formatCode>
                <c:ptCount val="8"/>
                <c:pt idx="0">
                  <c:v>0.99</c:v>
                </c:pt>
                <c:pt idx="1">
                  <c:v>0.96</c:v>
                </c:pt>
                <c:pt idx="2">
                  <c:v>0.96</c:v>
                </c:pt>
                <c:pt idx="3">
                  <c:v>0.962</c:v>
                </c:pt>
                <c:pt idx="4">
                  <c:v>0.962</c:v>
                </c:pt>
                <c:pt idx="5">
                  <c:v>0.981</c:v>
                </c:pt>
                <c:pt idx="6">
                  <c:v>0.987</c:v>
                </c:pt>
                <c:pt idx="7">
                  <c:v>0.943</c:v>
                </c:pt>
              </c:numCache>
            </c:numRef>
          </c:val>
        </c:ser>
        <c:ser>
          <c:idx val="1"/>
          <c:order val="1"/>
          <c:tx>
            <c:strRef>
              <c:f>[工作簿1]Sheet1!$A$11</c:f>
              <c:strCache>
                <c:ptCount val="1"/>
                <c:pt idx="0">
                  <c:v>2020</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[工作簿1]Sheet1!$B$9:$I$9</c:f>
              <c:strCache>
                <c:ptCount val="8"/>
                <c:pt idx="0">
                  <c:v>理论学习满意度</c:v>
                </c:pt>
                <c:pt idx="1">
                  <c:v>专业学习满意度</c:v>
                </c:pt>
                <c:pt idx="2">
                  <c:v>校内实习满意度</c:v>
                </c:pt>
                <c:pt idx="3">
                  <c:v>校外实习满意度</c:v>
                </c:pt>
                <c:pt idx="4">
                  <c:v>校园文化社团活动满意度</c:v>
                </c:pt>
                <c:pt idx="5">
                  <c:v>生活满意度</c:v>
                </c:pt>
                <c:pt idx="6">
                  <c:v>安全满意度</c:v>
                </c:pt>
                <c:pt idx="7">
                  <c:v>毕业生满意度</c:v>
                </c:pt>
              </c:strCache>
            </c:strRef>
          </c:cat>
          <c:val>
            <c:numRef>
              <c:f>[工作簿1]Sheet1!$B$11:$I$11</c:f>
              <c:numCache>
                <c:formatCode>0%</c:formatCode>
                <c:ptCount val="8"/>
                <c:pt idx="0">
                  <c:v>0.97</c:v>
                </c:pt>
                <c:pt idx="1">
                  <c:v>0.93</c:v>
                </c:pt>
                <c:pt idx="2">
                  <c:v>0.95</c:v>
                </c:pt>
                <c:pt idx="3">
                  <c:v>0.94</c:v>
                </c:pt>
                <c:pt idx="4">
                  <c:v>0.95</c:v>
                </c:pt>
                <c:pt idx="5">
                  <c:v>0.962</c:v>
                </c:pt>
                <c:pt idx="6">
                  <c:v>0.922</c:v>
                </c:pt>
                <c:pt idx="7">
                  <c:v>0.932</c:v>
                </c:pt>
              </c:numCache>
            </c:numRef>
          </c:val>
        </c:ser>
        <c:dLbls>
          <c:showLegendKey val="0"/>
          <c:showVal val="1"/>
          <c:showCatName val="0"/>
          <c:showSerName val="0"/>
          <c:showPercent val="0"/>
          <c:showBubbleSize val="0"/>
        </c:dLbls>
        <c:gapWidth val="219"/>
        <c:overlap val="-27"/>
        <c:axId val="217900032"/>
        <c:axId val="275440192"/>
      </c:barChart>
      <c:catAx>
        <c:axId val="2179000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5440192"/>
        <c:crosses val="autoZero"/>
        <c:auto val="1"/>
        <c:lblAlgn val="ctr"/>
        <c:lblOffset val="100"/>
        <c:noMultiLvlLbl val="0"/>
      </c:catAx>
      <c:valAx>
        <c:axId val="275440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790003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Sheet2!$D$3</c:f>
              <c:strCache>
                <c:ptCount val="1"/>
                <c:pt idx="0">
                  <c:v>毕业生总人数（人）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Sheet2!$C$4:$C$14</c:f>
              <c:strCache>
                <c:ptCount val="10"/>
                <c:pt idx="0">
                  <c:v>办公自动化</c:v>
                </c:pt>
                <c:pt idx="1">
                  <c:v>电子技术</c:v>
                </c:pt>
                <c:pt idx="2">
                  <c:v>汽车维修</c:v>
                </c:pt>
                <c:pt idx="3">
                  <c:v>铁道运输管理</c:v>
                </c:pt>
                <c:pt idx="4">
                  <c:v>航空地面服务</c:v>
                </c:pt>
                <c:pt idx="5">
                  <c:v>会计电算化</c:v>
                </c:pt>
                <c:pt idx="6">
                  <c:v>工程造价</c:v>
                </c:pt>
                <c:pt idx="7">
                  <c:v>电子商务</c:v>
                </c:pt>
                <c:pt idx="8">
                  <c:v>汽车车身修复</c:v>
                </c:pt>
                <c:pt idx="9">
                  <c:v>医疗设备安装与维护</c:v>
                </c:pt>
              </c:strCache>
            </c:strRef>
          </c:cat>
          <c:val>
            <c:numRef>
              <c:f>Sheet2!$D$4:$D$14</c:f>
              <c:numCache>
                <c:formatCode>General</c:formatCode>
                <c:ptCount val="11"/>
                <c:pt idx="0">
                  <c:v>34</c:v>
                </c:pt>
                <c:pt idx="1">
                  <c:v>42</c:v>
                </c:pt>
                <c:pt idx="2">
                  <c:v>147</c:v>
                </c:pt>
                <c:pt idx="3">
                  <c:v>85</c:v>
                </c:pt>
                <c:pt idx="4">
                  <c:v>25</c:v>
                </c:pt>
                <c:pt idx="5">
                  <c:v>8</c:v>
                </c:pt>
                <c:pt idx="6">
                  <c:v>19</c:v>
                </c:pt>
                <c:pt idx="7">
                  <c:v>36</c:v>
                </c:pt>
                <c:pt idx="8">
                  <c:v>44</c:v>
                </c:pt>
                <c:pt idx="9">
                  <c:v>32</c:v>
                </c:pt>
              </c:numCache>
            </c:numRef>
          </c:val>
        </c:ser>
        <c:ser>
          <c:idx val="1"/>
          <c:order val="1"/>
          <c:tx>
            <c:strRef>
              <c:f>Sheet2!$E$3</c:f>
              <c:strCache>
                <c:ptCount val="1"/>
                <c:pt idx="0">
                  <c:v>对口顶岗实习总人数（人）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Sheet2!$C$4:$C$14</c:f>
              <c:strCache>
                <c:ptCount val="10"/>
                <c:pt idx="0">
                  <c:v>办公自动化</c:v>
                </c:pt>
                <c:pt idx="1">
                  <c:v>电子技术</c:v>
                </c:pt>
                <c:pt idx="2">
                  <c:v>汽车维修</c:v>
                </c:pt>
                <c:pt idx="3">
                  <c:v>铁道运输管理</c:v>
                </c:pt>
                <c:pt idx="4">
                  <c:v>航空地面服务</c:v>
                </c:pt>
                <c:pt idx="5">
                  <c:v>会计电算化</c:v>
                </c:pt>
                <c:pt idx="6">
                  <c:v>工程造价</c:v>
                </c:pt>
                <c:pt idx="7">
                  <c:v>电子商务</c:v>
                </c:pt>
                <c:pt idx="8">
                  <c:v>汽车车身修复</c:v>
                </c:pt>
                <c:pt idx="9">
                  <c:v>医疗设备安装与维护</c:v>
                </c:pt>
              </c:strCache>
            </c:strRef>
          </c:cat>
          <c:val>
            <c:numRef>
              <c:f>Sheet2!$E$4:$E$14</c:f>
              <c:numCache>
                <c:formatCode>General</c:formatCode>
                <c:ptCount val="11"/>
                <c:pt idx="0">
                  <c:v>26</c:v>
                </c:pt>
                <c:pt idx="1">
                  <c:v>36</c:v>
                </c:pt>
                <c:pt idx="2">
                  <c:v>98</c:v>
                </c:pt>
                <c:pt idx="3">
                  <c:v>73</c:v>
                </c:pt>
                <c:pt idx="4">
                  <c:v>23</c:v>
                </c:pt>
                <c:pt idx="5">
                  <c:v>8</c:v>
                </c:pt>
                <c:pt idx="6">
                  <c:v>18</c:v>
                </c:pt>
                <c:pt idx="7">
                  <c:v>26</c:v>
                </c:pt>
                <c:pt idx="8">
                  <c:v>35</c:v>
                </c:pt>
                <c:pt idx="9">
                  <c:v>32</c:v>
                </c:pt>
              </c:numCache>
            </c:numRef>
          </c:val>
        </c:ser>
        <c:dLbls>
          <c:showLegendKey val="0"/>
          <c:showVal val="0"/>
          <c:showCatName val="0"/>
          <c:showSerName val="0"/>
          <c:showPercent val="0"/>
          <c:showBubbleSize val="0"/>
        </c:dLbls>
        <c:gapWidth val="150"/>
        <c:axId val="217900544"/>
        <c:axId val="275441344"/>
      </c:barChart>
      <c:catAx>
        <c:axId val="2179005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441344"/>
        <c:crosses val="autoZero"/>
        <c:auto val="1"/>
        <c:lblAlgn val="ctr"/>
        <c:lblOffset val="100"/>
        <c:noMultiLvlLbl val="0"/>
      </c:catAx>
      <c:valAx>
        <c:axId val="2754413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790054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2018级</c:v>
                </c:pt>
              </c:strCache>
            </c:strRef>
          </c:tx>
          <c:invertIfNegative val="0"/>
          <c:dLbls>
            <c:delete val="1"/>
          </c:dLbls>
          <c:cat>
            <c:strRef>
              <c:f>Sheet1!$A$2:$A$10</c:f>
              <c:strCache>
                <c:ptCount val="9"/>
                <c:pt idx="0">
                  <c:v>电子技术应用</c:v>
                </c:pt>
                <c:pt idx="1">
                  <c:v>电子商务</c:v>
                </c:pt>
                <c:pt idx="2">
                  <c:v>航空服务</c:v>
                </c:pt>
                <c:pt idx="3">
                  <c:v>会计电算化</c:v>
                </c:pt>
                <c:pt idx="4">
                  <c:v>计算机应用</c:v>
                </c:pt>
                <c:pt idx="5">
                  <c:v>汽车运用与维修</c:v>
                </c:pt>
                <c:pt idx="6">
                  <c:v>铁道运输管理</c:v>
                </c:pt>
                <c:pt idx="7">
                  <c:v>新能源汽车装调与检修</c:v>
                </c:pt>
                <c:pt idx="8">
                  <c:v>工业机器人技术应用</c:v>
                </c:pt>
              </c:strCache>
            </c:strRef>
          </c:cat>
          <c:val>
            <c:numRef>
              <c:f>Sheet1!$B$2:$B$10</c:f>
              <c:numCache>
                <c:formatCode>General</c:formatCode>
                <c:ptCount val="9"/>
                <c:pt idx="0">
                  <c:v>125</c:v>
                </c:pt>
                <c:pt idx="1">
                  <c:v>32</c:v>
                </c:pt>
                <c:pt idx="2">
                  <c:v>59</c:v>
                </c:pt>
                <c:pt idx="3">
                  <c:v>11</c:v>
                </c:pt>
                <c:pt idx="4">
                  <c:v>220</c:v>
                </c:pt>
                <c:pt idx="5">
                  <c:v>436</c:v>
                </c:pt>
                <c:pt idx="6">
                  <c:v>141</c:v>
                </c:pt>
              </c:numCache>
            </c:numRef>
          </c:val>
        </c:ser>
        <c:ser>
          <c:idx val="1"/>
          <c:order val="1"/>
          <c:tx>
            <c:strRef>
              <c:f>Sheet1!$C$1</c:f>
              <c:strCache>
                <c:ptCount val="1"/>
                <c:pt idx="0">
                  <c:v>2019级</c:v>
                </c:pt>
              </c:strCache>
            </c:strRef>
          </c:tx>
          <c:invertIfNegative val="0"/>
          <c:dLbls>
            <c:delete val="1"/>
          </c:dLbls>
          <c:cat>
            <c:strRef>
              <c:f>Sheet1!$A$2:$A$10</c:f>
              <c:strCache>
                <c:ptCount val="9"/>
                <c:pt idx="0">
                  <c:v>电子技术应用</c:v>
                </c:pt>
                <c:pt idx="1">
                  <c:v>电子商务</c:v>
                </c:pt>
                <c:pt idx="2">
                  <c:v>航空服务</c:v>
                </c:pt>
                <c:pt idx="3">
                  <c:v>会计电算化</c:v>
                </c:pt>
                <c:pt idx="4">
                  <c:v>计算机应用</c:v>
                </c:pt>
                <c:pt idx="5">
                  <c:v>汽车运用与维修</c:v>
                </c:pt>
                <c:pt idx="6">
                  <c:v>铁道运输管理</c:v>
                </c:pt>
                <c:pt idx="7">
                  <c:v>新能源汽车装调与检修</c:v>
                </c:pt>
                <c:pt idx="8">
                  <c:v>工业机器人技术应用</c:v>
                </c:pt>
              </c:strCache>
            </c:strRef>
          </c:cat>
          <c:val>
            <c:numRef>
              <c:f>Sheet1!$C$2:$C$10</c:f>
              <c:numCache>
                <c:formatCode>General</c:formatCode>
                <c:ptCount val="9"/>
                <c:pt idx="0">
                  <c:v>369</c:v>
                </c:pt>
                <c:pt idx="1">
                  <c:v>36</c:v>
                </c:pt>
                <c:pt idx="2">
                  <c:v>67</c:v>
                </c:pt>
                <c:pt idx="3">
                  <c:v>20</c:v>
                </c:pt>
                <c:pt idx="4">
                  <c:v>363</c:v>
                </c:pt>
                <c:pt idx="5">
                  <c:v>611</c:v>
                </c:pt>
                <c:pt idx="6">
                  <c:v>133</c:v>
                </c:pt>
              </c:numCache>
            </c:numRef>
          </c:val>
        </c:ser>
        <c:ser>
          <c:idx val="2"/>
          <c:order val="2"/>
          <c:tx>
            <c:strRef>
              <c:f>Sheet1!$D$1</c:f>
              <c:strCache>
                <c:ptCount val="1"/>
                <c:pt idx="0">
                  <c:v>2020级</c:v>
                </c:pt>
              </c:strCache>
            </c:strRef>
          </c:tx>
          <c:invertIfNegative val="0"/>
          <c:dLbls>
            <c:delete val="1"/>
          </c:dLbls>
          <c:cat>
            <c:strRef>
              <c:f>Sheet1!$A$2:$A$10</c:f>
              <c:strCache>
                <c:ptCount val="9"/>
                <c:pt idx="0">
                  <c:v>电子技术应用</c:v>
                </c:pt>
                <c:pt idx="1">
                  <c:v>电子商务</c:v>
                </c:pt>
                <c:pt idx="2">
                  <c:v>航空服务</c:v>
                </c:pt>
                <c:pt idx="3">
                  <c:v>会计电算化</c:v>
                </c:pt>
                <c:pt idx="4">
                  <c:v>计算机应用</c:v>
                </c:pt>
                <c:pt idx="5">
                  <c:v>汽车运用与维修</c:v>
                </c:pt>
                <c:pt idx="6">
                  <c:v>铁道运输管理</c:v>
                </c:pt>
                <c:pt idx="7">
                  <c:v>新能源汽车装调与检修</c:v>
                </c:pt>
                <c:pt idx="8">
                  <c:v>工业机器人技术应用</c:v>
                </c:pt>
              </c:strCache>
            </c:strRef>
          </c:cat>
          <c:val>
            <c:numRef>
              <c:f>Sheet1!$D$2:$D$10</c:f>
              <c:numCache>
                <c:formatCode>General</c:formatCode>
                <c:ptCount val="9"/>
                <c:pt idx="0">
                  <c:v>950</c:v>
                </c:pt>
                <c:pt idx="1">
                  <c:v>43</c:v>
                </c:pt>
                <c:pt idx="2">
                  <c:v>70</c:v>
                </c:pt>
                <c:pt idx="3">
                  <c:v>19</c:v>
                </c:pt>
                <c:pt idx="4">
                  <c:v>631</c:v>
                </c:pt>
                <c:pt idx="5">
                  <c:v>584</c:v>
                </c:pt>
                <c:pt idx="6">
                  <c:v>144</c:v>
                </c:pt>
                <c:pt idx="7">
                  <c:v>64</c:v>
                </c:pt>
                <c:pt idx="8">
                  <c:v>53</c:v>
                </c:pt>
              </c:numCache>
            </c:numRef>
          </c:val>
        </c:ser>
        <c:dLbls>
          <c:showLegendKey val="0"/>
          <c:showVal val="0"/>
          <c:showCatName val="0"/>
          <c:showSerName val="0"/>
          <c:showPercent val="0"/>
          <c:showBubbleSize val="0"/>
        </c:dLbls>
        <c:gapWidth val="150"/>
        <c:axId val="258795008"/>
        <c:axId val="275444224"/>
      </c:barChart>
      <c:catAx>
        <c:axId val="25879500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444224"/>
        <c:crosses val="autoZero"/>
        <c:auto val="1"/>
        <c:lblAlgn val="ctr"/>
        <c:lblOffset val="100"/>
        <c:noMultiLvlLbl val="0"/>
      </c:catAx>
      <c:valAx>
        <c:axId val="2754442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879500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3029</Words>
  <Characters>17267</Characters>
  <Lines>143</Lines>
  <Paragraphs>40</Paragraphs>
  <TotalTime>74</TotalTime>
  <ScaleCrop>false</ScaleCrop>
  <LinksUpToDate>false</LinksUpToDate>
  <CharactersWithSpaces>20256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2019-01-16T01:22:00Z</dcterms:created>
  <dc:creator>Administrator</dc:creator>
  <cp:lastModifiedBy>飞哥哥</cp:lastModifiedBy>
  <cp:lastPrinted>2021-01-08T08:42:00Z</cp:lastPrinted>
  <dcterms:modified xsi:type="dcterms:W3CDTF">2021-09-22T09:17:45Z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B944E85E5CAA496C9CD9965C70F4969A</vt:lpwstr>
  </property>
</Properties>
</file>