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
      <w:pPr>
        <w:jc w:val="center"/>
        <w:rPr>
          <w:b/>
          <w:bCs/>
          <w:color w:val="000000" w:themeColor="text1"/>
          <w:sz w:val="72"/>
          <w:szCs w:val="72"/>
          <w14:textFill>
            <w14:solidFill>
              <w14:schemeClr w14:val="tx1"/>
            </w14:solidFill>
          </w14:textFill>
        </w:rPr>
      </w:pPr>
      <w:r>
        <w:rPr>
          <w:rFonts w:hint="eastAsia"/>
          <w:b/>
          <w:bCs/>
          <w:color w:val="000000" w:themeColor="text1"/>
          <w:sz w:val="52"/>
          <w:szCs w:val="52"/>
          <w14:textFill>
            <w14:solidFill>
              <w14:schemeClr w14:val="tx1"/>
            </w14:solidFill>
          </w14:textFill>
        </w:rPr>
        <w:t>南充电子工业学校</w:t>
      </w:r>
    </w:p>
    <w:p>
      <w:pPr>
        <w:jc w:val="center"/>
        <w:rPr>
          <w:b/>
          <w:bCs/>
          <w:sz w:val="52"/>
          <w:szCs w:val="52"/>
        </w:rPr>
      </w:pPr>
    </w:p>
    <w:p>
      <w:pPr>
        <w:jc w:val="center"/>
        <w:rPr>
          <w:rFonts w:ascii="仿宋_GB2312" w:hAnsi="仿宋_GB2312" w:eastAsia="仿宋_GB2312" w:cs="仿宋_GB2312"/>
          <w:color w:val="000000" w:themeColor="text1"/>
          <w:sz w:val="52"/>
          <w:szCs w:val="52"/>
          <w14:textFill>
            <w14:solidFill>
              <w14:schemeClr w14:val="tx1"/>
            </w14:solidFill>
          </w14:textFill>
        </w:rPr>
      </w:pPr>
      <w:r>
        <w:rPr>
          <w:rFonts w:hint="eastAsia" w:ascii="仿宋_GB2312" w:hAnsi="仿宋_GB2312" w:eastAsia="仿宋_GB2312" w:cs="仿宋_GB2312"/>
          <w:color w:val="000000" w:themeColor="text1"/>
          <w:sz w:val="52"/>
          <w:szCs w:val="52"/>
          <w14:textFill>
            <w14:solidFill>
              <w14:schemeClr w14:val="tx1"/>
            </w14:solidFill>
          </w14:textFill>
        </w:rPr>
        <w:t>中等职业教育质量年度报告</w:t>
      </w:r>
    </w:p>
    <w:p>
      <w:pPr>
        <w:jc w:val="center"/>
        <w:rPr>
          <w:rFonts w:ascii="新宋体" w:hAnsi="新宋体" w:eastAsia="新宋体" w:cs="新宋体"/>
          <w:sz w:val="44"/>
          <w:szCs w:val="44"/>
        </w:rPr>
      </w:pPr>
      <w:r>
        <w:rPr>
          <w:rFonts w:hint="eastAsia" w:ascii="新宋体" w:hAnsi="新宋体" w:eastAsia="新宋体" w:cs="新宋体"/>
          <w:sz w:val="44"/>
          <w:szCs w:val="44"/>
        </w:rPr>
        <w:t>（2019年度）</w:t>
      </w:r>
    </w:p>
    <w:p>
      <w:pPr>
        <w:jc w:val="center"/>
        <w:rPr>
          <w:rFonts w:ascii="新宋体" w:hAnsi="新宋体" w:eastAsia="新宋体" w:cs="新宋体"/>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sz w:val="44"/>
          <w:szCs w:val="44"/>
        </w:rPr>
      </w:pPr>
    </w:p>
    <w:p>
      <w:pPr>
        <w:jc w:val="center"/>
        <w:rPr>
          <w:color w:val="000000" w:themeColor="text1"/>
          <w:sz w:val="44"/>
          <w:szCs w:val="44"/>
          <w14:textFill>
            <w14:solidFill>
              <w14:schemeClr w14:val="tx1"/>
            </w14:solidFill>
          </w14:textFill>
        </w:rPr>
      </w:pPr>
      <w:r>
        <w:rPr>
          <w:rFonts w:hint="eastAsia" w:ascii="新宋体" w:hAnsi="新宋体" w:eastAsia="新宋体" w:cs="新宋体"/>
          <w:sz w:val="44"/>
          <w:szCs w:val="44"/>
        </w:rPr>
        <w:t>二0</w:t>
      </w:r>
      <w:r>
        <w:rPr>
          <w:rFonts w:hint="eastAsia" w:ascii="新宋体" w:hAnsi="新宋体" w:eastAsia="新宋体" w:cs="新宋体"/>
          <w:sz w:val="44"/>
          <w:szCs w:val="44"/>
          <w:lang w:val="en-US" w:eastAsia="zh-CN"/>
        </w:rPr>
        <w:t>二0</w:t>
      </w:r>
      <w:r>
        <w:rPr>
          <w:rFonts w:hint="eastAsia" w:ascii="新宋体" w:hAnsi="新宋体" w:eastAsia="新宋体" w:cs="新宋体"/>
          <w:sz w:val="44"/>
          <w:szCs w:val="44"/>
        </w:rPr>
        <w:t>年一月</w:t>
      </w:r>
      <w:r>
        <w:rPr>
          <w:rFonts w:hint="eastAsia" w:ascii="新宋体" w:hAnsi="新宋体" w:eastAsia="新宋体" w:cs="新宋体"/>
          <w:sz w:val="44"/>
          <w:szCs w:val="44"/>
          <w:lang w:val="en-US" w:eastAsia="zh-CN"/>
        </w:rPr>
        <w:t>二十</w:t>
      </w:r>
      <w:bookmarkStart w:id="5" w:name="_GoBack"/>
      <w:bookmarkEnd w:id="5"/>
      <w:r>
        <w:rPr>
          <w:rFonts w:hint="eastAsia" w:ascii="新宋体" w:hAnsi="新宋体" w:eastAsia="新宋体" w:cs="新宋体"/>
          <w:sz w:val="44"/>
          <w:szCs w:val="44"/>
        </w:rPr>
        <w:t>日</w:t>
      </w:r>
    </w:p>
    <w:p>
      <w:pPr>
        <w:jc w:val="center"/>
        <w:rPr>
          <w:color w:val="000000" w:themeColor="text1"/>
          <w:sz w:val="44"/>
          <w:szCs w:val="44"/>
          <w14:textFill>
            <w14:solidFill>
              <w14:schemeClr w14:val="tx1"/>
            </w14:solidFill>
          </w14:textFill>
        </w:rPr>
      </w:pPr>
    </w:p>
    <w:p>
      <w:pPr>
        <w:jc w:val="cente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目录</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学校情况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1.1学校概况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1.2学生情况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1.3教师队伍</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1.4设施设备</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4</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学生发展</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7</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2.1学生素质</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7</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2.2在校体验</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8</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2.3资助情况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9</w:t>
      </w:r>
    </w:p>
    <w:p>
      <w:pPr>
        <w:rPr>
          <w:rFonts w:ascii="新宋体" w:hAnsi="新宋体" w:eastAsia="新宋体" w:cs="新宋体"/>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2.4就业质量</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10</w:t>
      </w:r>
    </w:p>
    <w:p>
      <w:pPr>
        <w:rPr>
          <w:rFonts w:hint="eastAsia" w:ascii="新宋体" w:hAnsi="新宋体" w:eastAsia="新宋体" w:cs="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2.5职业发展</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2</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质量保障措施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3</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3.1</w:t>
      </w:r>
      <w:r>
        <w:rPr>
          <w:rFonts w:hint="eastAsia"/>
          <w:color w:val="000000" w:themeColor="text1"/>
          <w:sz w:val="30"/>
          <w:szCs w:val="30"/>
          <w14:textFill>
            <w14:solidFill>
              <w14:schemeClr w14:val="tx1"/>
            </w14:solidFill>
          </w14:textFill>
        </w:rPr>
        <w:t>专业动态调整</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3</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3.2</w:t>
      </w:r>
      <w:r>
        <w:rPr>
          <w:rFonts w:hint="eastAsia"/>
          <w:color w:val="000000" w:themeColor="text1"/>
          <w:sz w:val="30"/>
          <w:szCs w:val="30"/>
          <w14:textFill>
            <w14:solidFill>
              <w14:schemeClr w14:val="tx1"/>
            </w14:solidFill>
          </w14:textFill>
        </w:rPr>
        <w:t>教育教学改革</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4</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3.3</w:t>
      </w:r>
      <w:r>
        <w:rPr>
          <w:rFonts w:hint="eastAsia"/>
          <w:color w:val="000000" w:themeColor="text1"/>
          <w:sz w:val="30"/>
          <w:szCs w:val="30"/>
          <w14:textFill>
            <w14:solidFill>
              <w14:schemeClr w14:val="tx1"/>
            </w14:solidFill>
          </w14:textFill>
        </w:rPr>
        <w:t>教师培养培训</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1</w:t>
      </w:r>
      <w:r>
        <w:rPr>
          <w:rFonts w:hint="eastAsia" w:ascii="新宋体" w:hAnsi="新宋体" w:eastAsia="新宋体" w:cs="新宋体"/>
          <w:color w:val="000000" w:themeColor="text1"/>
          <w:sz w:val="30"/>
          <w:szCs w:val="30"/>
          <w:lang w:val="en-US" w:eastAsia="zh-CN"/>
          <w14:textFill>
            <w14:solidFill>
              <w14:schemeClr w14:val="tx1"/>
            </w14:solidFill>
          </w14:textFill>
        </w:rPr>
        <w:t>7</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3.4</w:t>
      </w:r>
      <w:r>
        <w:rPr>
          <w:rFonts w:hint="eastAsia"/>
          <w:color w:val="000000" w:themeColor="text1"/>
          <w:sz w:val="30"/>
          <w:szCs w:val="30"/>
          <w14:textFill>
            <w14:solidFill>
              <w14:schemeClr w14:val="tx1"/>
            </w14:solidFill>
          </w14:textFill>
        </w:rPr>
        <w:t>规范管理情况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2"/>
          <w:szCs w:val="32"/>
          <w14:textFill>
            <w14:solidFill>
              <w14:schemeClr w14:val="tx1"/>
            </w14:solidFill>
          </w14:textFill>
        </w:rPr>
        <w:t>1</w:t>
      </w:r>
      <w:r>
        <w:rPr>
          <w:rFonts w:hint="eastAsia" w:ascii="新宋体" w:hAnsi="新宋体" w:eastAsia="新宋体" w:cs="新宋体"/>
          <w:color w:val="000000" w:themeColor="text1"/>
          <w:sz w:val="32"/>
          <w:szCs w:val="32"/>
          <w:lang w:val="en-US" w:eastAsia="zh-CN"/>
          <w14:textFill>
            <w14:solidFill>
              <w14:schemeClr w14:val="tx1"/>
            </w14:solidFill>
          </w14:textFill>
        </w:rPr>
        <w:t>7</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3.5</w:t>
      </w:r>
      <w:r>
        <w:rPr>
          <w:rFonts w:hint="eastAsia"/>
          <w:color w:val="000000" w:themeColor="text1"/>
          <w:sz w:val="30"/>
          <w:szCs w:val="30"/>
          <w14:textFill>
            <w14:solidFill>
              <w14:schemeClr w14:val="tx1"/>
            </w14:solidFill>
          </w14:textFill>
        </w:rPr>
        <w:t>德育工作情况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0</w:t>
      </w:r>
    </w:p>
    <w:p>
      <w:pPr>
        <w:rPr>
          <w:rFonts w:hint="eastAsia" w:eastAsia="新宋体"/>
          <w:b/>
          <w:bCs/>
          <w:color w:val="000000" w:themeColor="text1"/>
          <w:sz w:val="32"/>
          <w:szCs w:val="32"/>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3.6</w:t>
      </w:r>
      <w:r>
        <w:rPr>
          <w:rFonts w:hint="eastAsia"/>
          <w:color w:val="000000" w:themeColor="text1"/>
          <w:sz w:val="30"/>
          <w:szCs w:val="30"/>
          <w14:textFill>
            <w14:solidFill>
              <w14:schemeClr w14:val="tx1"/>
            </w14:solidFill>
          </w14:textFill>
        </w:rPr>
        <w:t>党建情况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2</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校企合作</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5</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4.1</w:t>
      </w:r>
      <w:r>
        <w:rPr>
          <w:rFonts w:hint="eastAsia"/>
          <w:color w:val="000000" w:themeColor="text1"/>
          <w:sz w:val="30"/>
          <w:szCs w:val="30"/>
          <w14:textFill>
            <w14:solidFill>
              <w14:schemeClr w14:val="tx1"/>
            </w14:solidFill>
          </w14:textFill>
        </w:rPr>
        <w:t>校企合作开展情况和效果</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5</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4.2</w:t>
      </w:r>
      <w:r>
        <w:rPr>
          <w:rFonts w:hint="eastAsia"/>
          <w:color w:val="000000" w:themeColor="text1"/>
          <w:sz w:val="30"/>
          <w:szCs w:val="30"/>
          <w14:textFill>
            <w14:solidFill>
              <w14:schemeClr w14:val="tx1"/>
            </w14:solidFill>
          </w14:textFill>
        </w:rPr>
        <w:t>学生实习情况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5</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4.3</w:t>
      </w:r>
      <w:r>
        <w:rPr>
          <w:rFonts w:hint="eastAsia"/>
          <w:color w:val="000000" w:themeColor="text1"/>
          <w:sz w:val="30"/>
          <w:szCs w:val="30"/>
          <w14:textFill>
            <w14:solidFill>
              <w14:schemeClr w14:val="tx1"/>
            </w14:solidFill>
          </w14:textFill>
        </w:rPr>
        <w:t>集团化办学情况</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社会贡献</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28</w:t>
      </w:r>
    </w:p>
    <w:p>
      <w:pPr>
        <w:rPr>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5.1</w:t>
      </w:r>
      <w:r>
        <w:rPr>
          <w:rFonts w:hint="eastAsia"/>
          <w:color w:val="000000" w:themeColor="text1"/>
          <w:sz w:val="30"/>
          <w:szCs w:val="30"/>
          <w14:textFill>
            <w14:solidFill>
              <w14:schemeClr w14:val="tx1"/>
            </w14:solidFill>
          </w14:textFill>
        </w:rPr>
        <w:t>技术技能人才培养</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28</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5.2</w:t>
      </w:r>
      <w:r>
        <w:rPr>
          <w:rFonts w:hint="eastAsia"/>
          <w:color w:val="000000" w:themeColor="text1"/>
          <w:sz w:val="30"/>
          <w:szCs w:val="30"/>
          <w14:textFill>
            <w14:solidFill>
              <w14:schemeClr w14:val="tx1"/>
            </w14:solidFill>
          </w14:textFill>
        </w:rPr>
        <w:t>社会服务</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w:t>
      </w:r>
      <w:r>
        <w:rPr>
          <w:rFonts w:hint="eastAsia" w:ascii="新宋体" w:hAnsi="新宋体" w:eastAsia="新宋体" w:cs="新宋体"/>
          <w:color w:val="000000" w:themeColor="text1"/>
          <w:sz w:val="30"/>
          <w:szCs w:val="30"/>
          <w:lang w:val="en-US" w:eastAsia="zh-CN"/>
          <w14:textFill>
            <w14:solidFill>
              <w14:schemeClr w14:val="tx1"/>
            </w14:solidFill>
          </w14:textFill>
        </w:rPr>
        <w:t>8</w:t>
      </w:r>
    </w:p>
    <w:p>
      <w:pPr>
        <w:rPr>
          <w:color w:val="000000" w:themeColor="text1"/>
          <w:sz w:val="30"/>
          <w:szCs w:val="30"/>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5.3</w:t>
      </w:r>
      <w:r>
        <w:rPr>
          <w:rFonts w:hint="eastAsia"/>
          <w:color w:val="000000" w:themeColor="text1"/>
          <w:sz w:val="30"/>
          <w:szCs w:val="30"/>
          <w14:textFill>
            <w14:solidFill>
              <w14:schemeClr w14:val="tx1"/>
            </w14:solidFill>
          </w14:textFill>
        </w:rPr>
        <w:t>对口支援</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29</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举办者履责</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29</w:t>
      </w:r>
    </w:p>
    <w:p>
      <w:pPr>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6.1</w:t>
      </w:r>
      <w:r>
        <w:rPr>
          <w:rFonts w:hint="eastAsia"/>
          <w:color w:val="000000" w:themeColor="text1"/>
          <w:sz w:val="30"/>
          <w:szCs w:val="30"/>
          <w14:textFill>
            <w14:solidFill>
              <w14:schemeClr w14:val="tx1"/>
            </w14:solidFill>
          </w14:textFill>
        </w:rPr>
        <w:t>经费保障</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29</w:t>
      </w:r>
    </w:p>
    <w:p>
      <w:pPr>
        <w:rPr>
          <w:rFonts w:hint="default" w:eastAsiaTheme="minorEastAsia"/>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6.2</w:t>
      </w:r>
      <w:r>
        <w:rPr>
          <w:rFonts w:hint="eastAsia"/>
          <w:color w:val="000000" w:themeColor="text1"/>
          <w:sz w:val="30"/>
          <w:szCs w:val="30"/>
          <w14:textFill>
            <w14:solidFill>
              <w14:schemeClr w14:val="tx1"/>
            </w14:solidFill>
          </w14:textFill>
        </w:rPr>
        <w:t>政策措施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lang w:val="en-US" w:eastAsia="zh-CN"/>
          <w14:textFill>
            <w14:solidFill>
              <w14:schemeClr w14:val="tx1"/>
            </w14:solidFill>
          </w14:textFill>
        </w:rPr>
        <w:t>29</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特色创新</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0</w:t>
      </w:r>
    </w:p>
    <w:p>
      <w:pPr>
        <w:pStyle w:val="6"/>
        <w:shd w:val="clear" w:color="auto" w:fill="FFFFFF"/>
        <w:spacing w:before="0" w:beforeAutospacing="0" w:after="75" w:afterAutospacing="0" w:line="400" w:lineRule="atLeast"/>
        <w:rPr>
          <w:rFonts w:hint="eastAsia" w:eastAsia="新宋体"/>
          <w:color w:val="000000" w:themeColor="text1"/>
          <w:sz w:val="30"/>
          <w:szCs w:val="30"/>
          <w:lang w:val="en-US" w:eastAsia="zh-CN"/>
          <w14:textFill>
            <w14:solidFill>
              <w14:schemeClr w14:val="tx1"/>
            </w14:solidFill>
          </w14:textFill>
        </w:rPr>
      </w:pPr>
      <w:r>
        <w:rPr>
          <w:rFonts w:hint="eastAsia" w:ascii="仿宋" w:hAnsi="仿宋" w:eastAsia="仿宋" w:cs="仿宋_GB2312"/>
          <w:kern w:val="2"/>
          <w:sz w:val="30"/>
          <w:szCs w:val="30"/>
        </w:rPr>
        <w:t>案例一：</w:t>
      </w:r>
      <w:r>
        <w:rPr>
          <w:rFonts w:hint="eastAsia" w:ascii="仿宋" w:hAnsi="仿宋" w:eastAsia="仿宋"/>
          <w:sz w:val="30"/>
          <w:szCs w:val="30"/>
        </w:rPr>
        <w:t>探索校企合作、产教融合的办学模式</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1</w:t>
      </w:r>
    </w:p>
    <w:p>
      <w:pPr>
        <w:numPr>
          <w:ilvl w:val="0"/>
          <w:numId w:val="1"/>
        </w:num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主要问题和改进措施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rPr>
          <w:rFonts w:hint="eastAsia" w:eastAsia="新宋体"/>
          <w:color w:val="000000" w:themeColor="text1"/>
          <w:sz w:val="30"/>
          <w:szCs w:val="30"/>
          <w:lang w:val="en-US" w:eastAsia="zh-CN"/>
          <w14:textFill>
            <w14:solidFill>
              <w14:schemeClr w14:val="tx1"/>
            </w14:solidFill>
          </w14:textFill>
        </w:rPr>
      </w:pPr>
      <w:r>
        <w:rPr>
          <w:rFonts w:hint="eastAsia" w:ascii="新宋体" w:hAnsi="新宋体" w:eastAsia="新宋体" w:cs="新宋体"/>
          <w:color w:val="000000" w:themeColor="text1"/>
          <w:sz w:val="30"/>
          <w:szCs w:val="30"/>
          <w14:textFill>
            <w14:solidFill>
              <w14:schemeClr w14:val="tx1"/>
            </w14:solidFill>
          </w14:textFill>
        </w:rPr>
        <w:t>8.1</w:t>
      </w:r>
      <w:r>
        <w:rPr>
          <w:rFonts w:hint="eastAsia"/>
          <w:color w:val="000000" w:themeColor="text1"/>
          <w:sz w:val="30"/>
          <w:szCs w:val="30"/>
          <w14:textFill>
            <w14:solidFill>
              <w14:schemeClr w14:val="tx1"/>
            </w14:solidFill>
          </w14:textFill>
        </w:rPr>
        <w:t>人才培养中存在的问题</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rPr>
          <w:rFonts w:hint="eastAsia" w:ascii="仿宋" w:hAnsi="仿宋" w:eastAsia="新宋体" w:cs="宋体"/>
          <w:b/>
          <w:bCs/>
          <w:sz w:val="44"/>
          <w:szCs w:val="44"/>
          <w:lang w:val="en-US" w:eastAsia="zh-CN"/>
        </w:rPr>
      </w:pPr>
      <w:r>
        <w:rPr>
          <w:rFonts w:hint="eastAsia" w:ascii="新宋体" w:hAnsi="新宋体" w:eastAsia="新宋体" w:cs="新宋体"/>
          <w:color w:val="000000" w:themeColor="text1"/>
          <w:sz w:val="30"/>
          <w:szCs w:val="30"/>
          <w14:textFill>
            <w14:solidFill>
              <w14:schemeClr w14:val="tx1"/>
            </w14:solidFill>
          </w14:textFill>
        </w:rPr>
        <w:t>8.2</w:t>
      </w:r>
      <w:r>
        <w:rPr>
          <w:rFonts w:hint="eastAsia"/>
          <w:color w:val="000000" w:themeColor="text1"/>
          <w:sz w:val="30"/>
          <w:szCs w:val="30"/>
          <w14:textFill>
            <w14:solidFill>
              <w14:schemeClr w14:val="tx1"/>
            </w14:solidFill>
          </w14:textFill>
        </w:rPr>
        <w:t>改进措施</w:t>
      </w:r>
      <w:r>
        <w:rPr>
          <w:rFonts w:hint="eastAsia"/>
          <w:color w:val="000000" w:themeColor="text1"/>
          <w:sz w:val="32"/>
          <w:szCs w:val="32"/>
          <w14:textFill>
            <w14:solidFill>
              <w14:schemeClr w14:val="tx1"/>
            </w14:solidFill>
          </w14:textFill>
        </w:rPr>
        <w:t>………………………………………………</w:t>
      </w:r>
      <w:r>
        <w:rPr>
          <w:rFonts w:hint="eastAsia" w:ascii="新宋体" w:hAnsi="新宋体" w:eastAsia="新宋体" w:cs="新宋体"/>
          <w:color w:val="000000" w:themeColor="text1"/>
          <w:sz w:val="30"/>
          <w:szCs w:val="30"/>
          <w14:textFill>
            <w14:solidFill>
              <w14:schemeClr w14:val="tx1"/>
            </w14:solidFill>
          </w14:textFill>
        </w:rPr>
        <w:t>3</w:t>
      </w:r>
      <w:r>
        <w:rPr>
          <w:rFonts w:hint="eastAsia" w:ascii="新宋体" w:hAnsi="新宋体" w:eastAsia="新宋体" w:cs="新宋体"/>
          <w:color w:val="000000" w:themeColor="text1"/>
          <w:sz w:val="30"/>
          <w:szCs w:val="30"/>
          <w:lang w:val="en-US" w:eastAsia="zh-CN"/>
          <w14:textFill>
            <w14:solidFill>
              <w14:schemeClr w14:val="tx1"/>
            </w14:solidFill>
          </w14:textFill>
        </w:rPr>
        <w:t>6</w:t>
      </w:r>
    </w:p>
    <w:p>
      <w:pPr>
        <w:jc w:val="center"/>
        <w:rPr>
          <w:rFonts w:ascii="仿宋" w:hAnsi="仿宋" w:eastAsia="仿宋" w:cs="宋体"/>
          <w:b/>
          <w:bCs/>
          <w:sz w:val="44"/>
          <w:szCs w:val="44"/>
        </w:rPr>
      </w:pPr>
    </w:p>
    <w:p>
      <w:pPr>
        <w:jc w:val="center"/>
        <w:rPr>
          <w:rFonts w:ascii="仿宋" w:hAnsi="仿宋" w:eastAsia="仿宋" w:cs="宋体"/>
          <w:b/>
          <w:bCs/>
          <w:sz w:val="44"/>
          <w:szCs w:val="44"/>
        </w:rPr>
      </w:pPr>
    </w:p>
    <w:p>
      <w:pPr>
        <w:jc w:val="center"/>
        <w:rPr>
          <w:rFonts w:ascii="仿宋" w:hAnsi="仿宋" w:eastAsia="仿宋" w:cs="宋体"/>
          <w:b/>
          <w:bCs/>
          <w:sz w:val="44"/>
          <w:szCs w:val="44"/>
        </w:rPr>
      </w:pPr>
    </w:p>
    <w:p>
      <w:pPr>
        <w:jc w:val="center"/>
        <w:rPr>
          <w:rFonts w:ascii="仿宋" w:hAnsi="仿宋" w:eastAsia="仿宋" w:cs="宋体"/>
          <w:b/>
          <w:bCs/>
          <w:sz w:val="44"/>
          <w:szCs w:val="44"/>
        </w:rPr>
      </w:pPr>
    </w:p>
    <w:p>
      <w:pPr>
        <w:jc w:val="center"/>
        <w:rPr>
          <w:rFonts w:ascii="仿宋" w:hAnsi="仿宋" w:eastAsia="仿宋" w:cs="宋体"/>
          <w:b/>
          <w:bCs/>
          <w:sz w:val="44"/>
          <w:szCs w:val="44"/>
        </w:rPr>
        <w:sectPr>
          <w:pgSz w:w="11906" w:h="16838"/>
          <w:pgMar w:top="1440" w:right="1800" w:bottom="1440" w:left="1800" w:header="851" w:footer="992" w:gutter="0"/>
          <w:cols w:space="425" w:num="1"/>
          <w:docGrid w:type="lines" w:linePitch="312" w:charSpace="0"/>
        </w:sectPr>
      </w:pPr>
    </w:p>
    <w:p>
      <w:pPr>
        <w:jc w:val="center"/>
        <w:rPr>
          <w:rFonts w:ascii="仿宋" w:hAnsi="仿宋" w:eastAsia="仿宋" w:cs="宋体"/>
          <w:b/>
          <w:bCs/>
          <w:color w:val="000000"/>
          <w:sz w:val="44"/>
          <w:szCs w:val="44"/>
          <w:shd w:val="clear" w:color="auto" w:fill="FFFFFF"/>
        </w:rPr>
      </w:pPr>
      <w:r>
        <w:rPr>
          <w:rFonts w:hint="eastAsia" w:ascii="仿宋" w:hAnsi="仿宋" w:eastAsia="仿宋" w:cs="宋体"/>
          <w:b/>
          <w:bCs/>
          <w:sz w:val="44"/>
          <w:szCs w:val="44"/>
        </w:rPr>
        <w:t>南充电子工业</w:t>
      </w:r>
      <w:r>
        <w:rPr>
          <w:rFonts w:hint="eastAsia" w:ascii="仿宋" w:hAnsi="仿宋" w:eastAsia="仿宋" w:cs="宋体"/>
          <w:b/>
          <w:bCs/>
          <w:color w:val="000000"/>
          <w:sz w:val="44"/>
          <w:szCs w:val="44"/>
          <w:shd w:val="clear" w:color="auto" w:fill="FFFFFF"/>
        </w:rPr>
        <w:t>学校质量年度报告</w:t>
      </w:r>
    </w:p>
    <w:p>
      <w:pPr>
        <w:pStyle w:val="11"/>
        <w:ind w:firstLine="0" w:firstLineChars="0"/>
        <w:jc w:val="center"/>
        <w:rPr>
          <w:rFonts w:ascii="仿宋" w:hAnsi="仿宋" w:eastAsia="仿宋" w:cs="新宋体"/>
          <w:b/>
          <w:bCs/>
          <w:color w:val="000000"/>
          <w:sz w:val="32"/>
          <w:szCs w:val="32"/>
          <w:shd w:val="clear" w:color="auto" w:fill="FFFFFF"/>
        </w:rPr>
      </w:pPr>
      <w:r>
        <w:rPr>
          <w:rFonts w:hint="eastAsia" w:ascii="仿宋" w:hAnsi="仿宋" w:eastAsia="仿宋" w:cs="新宋体"/>
          <w:b/>
          <w:bCs/>
          <w:color w:val="000000"/>
          <w:sz w:val="32"/>
          <w:szCs w:val="32"/>
          <w:shd w:val="clear" w:color="auto" w:fill="FFFFFF"/>
        </w:rPr>
        <w:t>（2019年度）</w:t>
      </w:r>
    </w:p>
    <w:p>
      <w:pPr>
        <w:rPr>
          <w:rFonts w:ascii="仿宋" w:hAnsi="仿宋" w:eastAsia="仿宋" w:cs="仿宋_GB2312"/>
          <w:b/>
          <w:bCs/>
          <w:color w:val="000000"/>
          <w:sz w:val="36"/>
          <w:szCs w:val="36"/>
          <w:shd w:val="clear" w:color="auto" w:fill="FFFFFF"/>
        </w:rPr>
      </w:pPr>
      <w:r>
        <w:rPr>
          <w:rFonts w:hint="eastAsia" w:ascii="仿宋" w:hAnsi="仿宋" w:eastAsia="仿宋" w:cs="仿宋_GB2312"/>
          <w:b/>
          <w:bCs/>
          <w:color w:val="000000"/>
          <w:sz w:val="36"/>
          <w:szCs w:val="36"/>
          <w:shd w:val="clear" w:color="auto" w:fill="FFFFFF"/>
        </w:rPr>
        <w:t>一、学校情况</w:t>
      </w:r>
    </w:p>
    <w:p>
      <w:pPr>
        <w:ind w:firstLine="643" w:firstLineChars="200"/>
        <w:rPr>
          <w:rFonts w:ascii="仿宋" w:hAnsi="仿宋" w:eastAsia="仿宋" w:cs="仿宋_GB2312"/>
          <w:b/>
          <w:color w:val="000000"/>
          <w:sz w:val="32"/>
          <w:szCs w:val="32"/>
          <w:shd w:val="clear" w:color="auto" w:fill="FFFFFF"/>
        </w:rPr>
      </w:pPr>
      <w:r>
        <w:rPr>
          <w:rFonts w:hint="eastAsia" w:ascii="仿宋" w:hAnsi="仿宋" w:eastAsia="仿宋" w:cs="仿宋_GB2312"/>
          <w:b/>
          <w:sz w:val="32"/>
          <w:szCs w:val="32"/>
        </w:rPr>
        <w:t>1.1学校概况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南充电子工业学校成立于1998年，</w:t>
      </w:r>
      <w:r>
        <w:rPr>
          <w:rFonts w:hint="eastAsia" w:ascii="仿宋" w:hAnsi="仿宋" w:eastAsia="仿宋" w:cs="仿宋"/>
          <w:sz w:val="32"/>
          <w:szCs w:val="32"/>
        </w:rPr>
        <w:t>是经南充市教育局批准，南充市民政局登记成立的一所具备法人资格的民办中等职业学校</w:t>
      </w:r>
      <w:r>
        <w:rPr>
          <w:rFonts w:hint="eastAsia" w:ascii="仿宋" w:hAnsi="仿宋" w:eastAsia="仿宋" w:cs="仿宋_GB2312"/>
          <w:sz w:val="32"/>
          <w:szCs w:val="32"/>
        </w:rPr>
        <w:t>，学校位于南充市高坪区东顺路三段109号，学校是南充大成职业教育集团核心成员学校。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实行集团董事会领导下的校长负责制。学校设校长1人，党支部书记1人，副校长2人；校长为研究生学历、副教授，从事教学及教学管理工作30余年；副校长均为本科学历，具有高级职称2人，中级职称1人，均有从事十年以上教育教学工作的经历，有较高思想政治素质和较强管理能力、熟悉职业教育发展规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学校现开设有电子技术应用、计算机应用、汽车运用与维修、工程造价、铁道运输管理、会计电算化、电子商务等13个专业，有教学班82个，中职在校学生4000余人。学校设置的专业符合当地社会经济建设需要，有明确的教学计划、教学大纲等教学文件，以及相适应的课程标准和教材。</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学校占地面积</w:t>
      </w:r>
      <w:r>
        <w:rPr>
          <w:rFonts w:hint="eastAsia" w:ascii="仿宋" w:hAnsi="仿宋" w:eastAsia="仿宋" w:cs="仿宋_GB2312"/>
          <w:color w:val="000000" w:themeColor="text1"/>
          <w:sz w:val="32"/>
          <w:szCs w:val="32"/>
          <w:lang w:val="en-US" w:eastAsia="zh-CN"/>
          <w14:textFill>
            <w14:solidFill>
              <w14:schemeClr w14:val="tx1"/>
            </w14:solidFill>
          </w14:textFill>
        </w:rPr>
        <w:t>53733</w:t>
      </w:r>
      <w:r>
        <w:rPr>
          <w:rFonts w:hint="eastAsia" w:ascii="仿宋" w:hAnsi="仿宋" w:eastAsia="仿宋" w:cs="仿宋_GB2312"/>
          <w:color w:val="000000" w:themeColor="text1"/>
          <w:sz w:val="32"/>
          <w:szCs w:val="32"/>
          <w14:textFill>
            <w14:solidFill>
              <w14:schemeClr w14:val="tx1"/>
            </w14:solidFill>
          </w14:textFill>
        </w:rPr>
        <w:t>平方米，生均用地面积1</w:t>
      </w: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lang w:val="en-US" w:eastAsia="zh-CN"/>
          <w14:textFill>
            <w14:solidFill>
              <w14:schemeClr w14:val="tx1"/>
            </w14:solidFill>
          </w14:textFill>
        </w:rPr>
        <w:t>6</w:t>
      </w:r>
      <w:r>
        <w:rPr>
          <w:rFonts w:hint="eastAsia" w:ascii="仿宋" w:hAnsi="仿宋" w:eastAsia="仿宋" w:cs="仿宋_GB2312"/>
          <w:color w:val="000000" w:themeColor="text1"/>
          <w:sz w:val="32"/>
          <w:szCs w:val="32"/>
          <w14:textFill>
            <w14:solidFill>
              <w14:schemeClr w14:val="tx1"/>
            </w14:solidFill>
          </w14:textFill>
        </w:rPr>
        <w:t>平方米。校舍建筑面积</w:t>
      </w:r>
      <w:r>
        <w:rPr>
          <w:rFonts w:hint="eastAsia" w:ascii="仿宋" w:hAnsi="仿宋" w:eastAsia="仿宋" w:cs="仿宋_GB2312"/>
          <w:color w:val="000000" w:themeColor="text1"/>
          <w:sz w:val="32"/>
          <w:szCs w:val="32"/>
          <w:lang w:val="en-US" w:eastAsia="zh-CN"/>
          <w14:textFill>
            <w14:solidFill>
              <w14:schemeClr w14:val="tx1"/>
            </w14:solidFill>
          </w14:textFill>
        </w:rPr>
        <w:t>67333</w:t>
      </w:r>
      <w:r>
        <w:rPr>
          <w:rFonts w:hint="eastAsia" w:ascii="仿宋" w:hAnsi="仿宋" w:eastAsia="仿宋" w:cs="仿宋_GB2312"/>
          <w:color w:val="000000" w:themeColor="text1"/>
          <w:sz w:val="32"/>
          <w:szCs w:val="32"/>
          <w14:textFill>
            <w14:solidFill>
              <w14:schemeClr w14:val="tx1"/>
            </w14:solidFill>
          </w14:textFill>
        </w:rPr>
        <w:t>平方米，生均校舍建筑面积1</w:t>
      </w:r>
      <w:r>
        <w:rPr>
          <w:rFonts w:hint="eastAsia" w:ascii="仿宋" w:hAnsi="仿宋" w:eastAsia="仿宋" w:cs="仿宋_GB2312"/>
          <w:color w:val="000000" w:themeColor="text1"/>
          <w:sz w:val="32"/>
          <w:szCs w:val="32"/>
          <w:lang w:val="en-US" w:eastAsia="zh-CN"/>
          <w14:textFill>
            <w14:solidFill>
              <w14:schemeClr w14:val="tx1"/>
            </w14:solidFill>
          </w14:textFill>
        </w:rPr>
        <w:t>7</w:t>
      </w:r>
      <w:r>
        <w:rPr>
          <w:rFonts w:hint="eastAsia" w:ascii="仿宋" w:hAnsi="仿宋" w:eastAsia="仿宋" w:cs="仿宋_GB2312"/>
          <w:color w:val="000000" w:themeColor="text1"/>
          <w:sz w:val="32"/>
          <w:szCs w:val="32"/>
          <w14:textFill>
            <w14:solidFill>
              <w14:schemeClr w14:val="tx1"/>
            </w14:solidFill>
          </w14:textFill>
        </w:rPr>
        <w:t>平方米。</w:t>
      </w:r>
    </w:p>
    <w:p>
      <w:pPr>
        <w:ind w:firstLine="640" w:firstLineChars="200"/>
        <w:rPr>
          <w:rFonts w:ascii="仿宋" w:hAnsi="仿宋" w:eastAsia="仿宋" w:cs="仿宋_GB2312"/>
          <w:sz w:val="32"/>
          <w:szCs w:val="32"/>
        </w:rPr>
      </w:pPr>
      <w:r>
        <w:rPr>
          <w:rFonts w:hint="eastAsia" w:ascii="仿宋" w:hAnsi="仿宋" w:eastAsia="仿宋" w:cs="仿宋_GB2312"/>
          <w:color w:val="000000" w:themeColor="text1"/>
          <w:sz w:val="32"/>
          <w:szCs w:val="32"/>
          <w14:textFill>
            <w14:solidFill>
              <w14:schemeClr w14:val="tx1"/>
            </w14:solidFill>
          </w14:textFill>
        </w:rPr>
        <w:t>学校有300米的环型跑道田径场，标准篮球场2个，足球场1个、室内体育馆1个，有满足教学和体育活动需要的其他设施和场地，学校卫</w:t>
      </w:r>
      <w:r>
        <w:rPr>
          <w:rFonts w:hint="eastAsia" w:ascii="仿宋" w:hAnsi="仿宋" w:eastAsia="仿宋" w:cs="仿宋_GB2312"/>
          <w:sz w:val="32"/>
          <w:szCs w:val="32"/>
        </w:rPr>
        <w:t>生保健、校园安全机构健全，教学、生活设施设备符合《学校卫生工作条例》的基本要求，校园安全有保障。</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sz w:val="32"/>
          <w:szCs w:val="32"/>
        </w:rPr>
        <w:t>学校创办20年来，多次获得省、市、区的表彰奖励；学校有工业和信息产业部与人力资源和社会保障部认定的国家职业技能鉴定站各一个、被授予“四川省劳务开发培训基地”、“南充市重点中等职业学校”、</w:t>
      </w:r>
      <w:r>
        <w:rPr>
          <w:rFonts w:hint="eastAsia" w:ascii="仿宋" w:hAnsi="仿宋" w:eastAsia="仿宋" w:cs="仿宋_GB2312"/>
          <w:color w:val="000000" w:themeColor="text1"/>
          <w:sz w:val="32"/>
          <w:szCs w:val="32"/>
          <w14:textFill>
            <w14:solidFill>
              <w14:schemeClr w14:val="tx1"/>
            </w14:solidFill>
          </w14:textFill>
        </w:rPr>
        <w:t>“南充市高技能人才培训基地”。</w:t>
      </w:r>
    </w:p>
    <w:p>
      <w:pPr>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shd w:val="clear" w:color="auto" w:fill="FFFFFF"/>
          <w14:textFill>
            <w14:solidFill>
              <w14:schemeClr w14:val="tx1"/>
            </w14:solidFill>
          </w14:textFill>
        </w:rPr>
        <w:t>1.2学生情况</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2019年，在校生3960人，招收新生1970人，学校毕业生500人。与上一年度变化情况如图所示：学生规模对照图（图1），学生情况与上年度相比变化（图2）</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图1:</w:t>
      </w:r>
    </w:p>
    <w:p>
      <w:pPr>
        <w:widowControl/>
        <w:jc w:val="left"/>
        <w:rPr>
          <w:rFonts w:ascii="仿宋" w:hAnsi="仿宋" w:eastAsia="仿宋"/>
        </w:rPr>
      </w:pPr>
      <w:r>
        <w:drawing>
          <wp:inline distT="0" distB="0" distL="114300" distR="114300">
            <wp:extent cx="5250180" cy="2493010"/>
            <wp:effectExtent l="4445" t="4445" r="22225" b="1714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图2:</w:t>
      </w:r>
    </w:p>
    <w:p>
      <w:pPr>
        <w:widowControl/>
        <w:jc w:val="center"/>
        <w:rPr>
          <w:rFonts w:ascii="仿宋" w:hAnsi="仿宋" w:eastAsia="仿宋"/>
          <w:sz w:val="32"/>
          <w:szCs w:val="32"/>
        </w:rPr>
      </w:pPr>
      <w:r>
        <w:drawing>
          <wp:inline distT="0" distB="0" distL="114300" distR="114300">
            <wp:extent cx="4905375" cy="2898140"/>
            <wp:effectExtent l="4445" t="4445" r="5080" b="1206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shd w:val="clear" w:color="auto" w:fill="FFFFFF"/>
          <w14:textFill>
            <w14:solidFill>
              <w14:schemeClr w14:val="tx1"/>
            </w14:solidFill>
          </w14:textFill>
        </w:rPr>
        <w:t>1.3教师队伍</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为努力建设一支业务精湛、素质优良、专兼结合的教师队伍，我校采取</w:t>
      </w:r>
      <w:r>
        <w:rPr>
          <w:rFonts w:ascii="仿宋" w:hAnsi="仿宋" w:eastAsia="仿宋" w:cstheme="minorBidi"/>
          <w:color w:val="000000" w:themeColor="text1"/>
          <w:kern w:val="2"/>
          <w:sz w:val="32"/>
          <w:szCs w:val="32"/>
          <w14:textFill>
            <w14:solidFill>
              <w14:schemeClr w14:val="tx1"/>
            </w14:solidFill>
          </w14:textFill>
        </w:rPr>
        <w:t>教师专项</w:t>
      </w:r>
      <w:r>
        <w:rPr>
          <w:rFonts w:hint="eastAsia" w:ascii="仿宋" w:hAnsi="仿宋" w:eastAsia="仿宋" w:cstheme="minorBidi"/>
          <w:color w:val="000000" w:themeColor="text1"/>
          <w:kern w:val="2"/>
          <w:sz w:val="32"/>
          <w:szCs w:val="32"/>
          <w14:textFill>
            <w14:solidFill>
              <w14:schemeClr w14:val="tx1"/>
            </w14:solidFill>
          </w14:textFill>
        </w:rPr>
        <w:t>培训、专业教师轮训等方式，对在职教师实施“双师型”培训，并通过企业、社会、院校等引进专、兼职专业技术教师，从而提升了我校教师的业务水平。2019年，我校有专任教师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92</w:t>
      </w:r>
      <w:r>
        <w:rPr>
          <w:rFonts w:hint="eastAsia" w:ascii="仿宋" w:hAnsi="仿宋" w:eastAsia="仿宋" w:cstheme="minorBidi"/>
          <w:color w:val="000000" w:themeColor="text1"/>
          <w:kern w:val="2"/>
          <w:sz w:val="32"/>
          <w:szCs w:val="32"/>
          <w14:textFill>
            <w14:solidFill>
              <w14:schemeClr w14:val="tx1"/>
            </w14:solidFill>
          </w14:textFill>
        </w:rPr>
        <w:t>人，兼职教师1</w:t>
      </w:r>
      <w:r>
        <w:rPr>
          <w:rFonts w:hint="eastAsia" w:ascii="仿宋" w:hAnsi="仿宋" w:eastAsia="仿宋" w:cstheme="minorBidi"/>
          <w:color w:val="000000" w:themeColor="text1"/>
          <w:kern w:val="2"/>
          <w:sz w:val="32"/>
          <w:szCs w:val="32"/>
          <w:lang w:val="en-US" w:eastAsia="zh-CN"/>
          <w14:textFill>
            <w14:solidFill>
              <w14:schemeClr w14:val="tx1"/>
            </w14:solidFill>
          </w14:textFill>
        </w:rPr>
        <w:t>6</w:t>
      </w:r>
      <w:r>
        <w:rPr>
          <w:rFonts w:hint="eastAsia" w:ascii="仿宋" w:hAnsi="仿宋" w:eastAsia="仿宋" w:cstheme="minorBidi"/>
          <w:color w:val="000000" w:themeColor="text1"/>
          <w:kern w:val="2"/>
          <w:sz w:val="32"/>
          <w:szCs w:val="32"/>
          <w14:textFill>
            <w14:solidFill>
              <w14:schemeClr w14:val="tx1"/>
            </w14:solidFill>
          </w14:textFill>
        </w:rPr>
        <w:t>人，外聘老师5人，生师比为3</w:t>
      </w:r>
      <w:r>
        <w:rPr>
          <w:rFonts w:hint="eastAsia" w:ascii="仿宋" w:hAnsi="仿宋" w:eastAsia="仿宋" w:cstheme="minorBidi"/>
          <w:color w:val="000000" w:themeColor="text1"/>
          <w:kern w:val="2"/>
          <w:sz w:val="32"/>
          <w:szCs w:val="32"/>
          <w:lang w:val="en-US" w:eastAsia="zh-CN"/>
          <w14:textFill>
            <w14:solidFill>
              <w14:schemeClr w14:val="tx1"/>
            </w14:solidFill>
          </w14:textFill>
        </w:rPr>
        <w:t>5</w:t>
      </w:r>
      <w:r>
        <w:rPr>
          <w:rFonts w:hint="eastAsia" w:ascii="仿宋" w:hAnsi="仿宋" w:eastAsia="仿宋" w:cstheme="minorBidi"/>
          <w:color w:val="000000" w:themeColor="text1"/>
          <w:kern w:val="2"/>
          <w:sz w:val="32"/>
          <w:szCs w:val="32"/>
          <w14:textFill>
            <w14:solidFill>
              <w14:schemeClr w14:val="tx1"/>
            </w14:solidFill>
          </w14:textFill>
        </w:rPr>
        <w:t>.</w:t>
      </w:r>
      <w:r>
        <w:rPr>
          <w:rFonts w:hint="eastAsia" w:ascii="仿宋" w:hAnsi="仿宋" w:eastAsia="仿宋" w:cstheme="minorBidi"/>
          <w:color w:val="000000" w:themeColor="text1"/>
          <w:kern w:val="2"/>
          <w:sz w:val="32"/>
          <w:szCs w:val="32"/>
          <w:lang w:val="en-US" w:eastAsia="zh-CN"/>
          <w14:textFill>
            <w14:solidFill>
              <w14:schemeClr w14:val="tx1"/>
            </w14:solidFill>
          </w14:textFill>
        </w:rPr>
        <w:t>04</w:t>
      </w:r>
      <w:r>
        <w:rPr>
          <w:rFonts w:hint="eastAsia" w:ascii="仿宋" w:hAnsi="仿宋" w:eastAsia="仿宋" w:cstheme="minorBidi"/>
          <w:color w:val="000000" w:themeColor="text1"/>
          <w:kern w:val="2"/>
          <w:sz w:val="32"/>
          <w:szCs w:val="32"/>
          <w14:textFill>
            <w14:solidFill>
              <w14:schemeClr w14:val="tx1"/>
            </w14:solidFill>
          </w14:textFill>
        </w:rPr>
        <w:t>:1；高级职称9人，中级职称1</w:t>
      </w:r>
      <w:r>
        <w:rPr>
          <w:rFonts w:hint="eastAsia" w:ascii="仿宋" w:hAnsi="仿宋" w:eastAsia="仿宋" w:cstheme="minorBidi"/>
          <w:color w:val="000000" w:themeColor="text1"/>
          <w:kern w:val="2"/>
          <w:sz w:val="32"/>
          <w:szCs w:val="32"/>
          <w:lang w:val="en-US" w:eastAsia="zh-CN"/>
          <w14:textFill>
            <w14:solidFill>
              <w14:schemeClr w14:val="tx1"/>
            </w14:solidFill>
          </w14:textFill>
        </w:rPr>
        <w:t>6</w:t>
      </w:r>
      <w:r>
        <w:rPr>
          <w:rFonts w:hint="eastAsia" w:ascii="仿宋" w:hAnsi="仿宋" w:eastAsia="仿宋" w:cstheme="minorBidi"/>
          <w:color w:val="000000" w:themeColor="text1"/>
          <w:kern w:val="2"/>
          <w:sz w:val="32"/>
          <w:szCs w:val="32"/>
          <w14:textFill>
            <w14:solidFill>
              <w14:schemeClr w14:val="tx1"/>
            </w14:solidFill>
          </w14:textFill>
        </w:rPr>
        <w:t>人，初级职称</w:t>
      </w:r>
      <w:r>
        <w:rPr>
          <w:rFonts w:hint="eastAsia" w:ascii="仿宋" w:hAnsi="仿宋" w:eastAsia="仿宋" w:cstheme="minorBidi"/>
          <w:color w:val="000000" w:themeColor="text1"/>
          <w:kern w:val="2"/>
          <w:sz w:val="32"/>
          <w:szCs w:val="32"/>
          <w:lang w:val="en-US" w:eastAsia="zh-CN"/>
          <w14:textFill>
            <w14:solidFill>
              <w14:schemeClr w14:val="tx1"/>
            </w14:solidFill>
          </w14:textFill>
        </w:rPr>
        <w:t>7</w:t>
      </w:r>
      <w:r>
        <w:rPr>
          <w:rFonts w:hint="eastAsia" w:ascii="仿宋" w:hAnsi="仿宋" w:eastAsia="仿宋" w:cstheme="minorBidi"/>
          <w:color w:val="000000" w:themeColor="text1"/>
          <w:kern w:val="2"/>
          <w:sz w:val="32"/>
          <w:szCs w:val="32"/>
          <w14:textFill>
            <w14:solidFill>
              <w14:schemeClr w14:val="tx1"/>
            </w14:solidFill>
          </w14:textFill>
        </w:rPr>
        <w:t>人，本科学历</w:t>
      </w:r>
      <w:r>
        <w:rPr>
          <w:rFonts w:hint="eastAsia" w:ascii="仿宋" w:hAnsi="仿宋" w:eastAsia="仿宋" w:cstheme="minorBidi"/>
          <w:color w:val="000000" w:themeColor="text1"/>
          <w:kern w:val="2"/>
          <w:sz w:val="32"/>
          <w:szCs w:val="32"/>
          <w:lang w:val="en-US" w:eastAsia="zh-CN"/>
          <w14:textFill>
            <w14:solidFill>
              <w14:schemeClr w14:val="tx1"/>
            </w14:solidFill>
          </w14:textFill>
        </w:rPr>
        <w:t>52</w:t>
      </w:r>
      <w:r>
        <w:rPr>
          <w:rFonts w:hint="eastAsia" w:ascii="仿宋" w:hAnsi="仿宋" w:eastAsia="仿宋" w:cstheme="minorBidi"/>
          <w:color w:val="000000" w:themeColor="text1"/>
          <w:kern w:val="2"/>
          <w:sz w:val="32"/>
          <w:szCs w:val="32"/>
          <w14:textFill>
            <w14:solidFill>
              <w14:schemeClr w14:val="tx1"/>
            </w14:solidFill>
          </w14:textFill>
        </w:rPr>
        <w:t>人，专科学历</w:t>
      </w:r>
      <w:r>
        <w:rPr>
          <w:rFonts w:hint="eastAsia" w:ascii="仿宋" w:hAnsi="仿宋" w:eastAsia="仿宋" w:cstheme="minorBidi"/>
          <w:color w:val="000000" w:themeColor="text1"/>
          <w:kern w:val="2"/>
          <w:sz w:val="32"/>
          <w:szCs w:val="32"/>
          <w:lang w:val="en-US" w:eastAsia="zh-CN"/>
          <w14:textFill>
            <w14:solidFill>
              <w14:schemeClr w14:val="tx1"/>
            </w14:solidFill>
          </w14:textFill>
        </w:rPr>
        <w:t>5</w:t>
      </w:r>
      <w:r>
        <w:rPr>
          <w:rFonts w:hint="eastAsia" w:ascii="仿宋" w:hAnsi="仿宋" w:eastAsia="仿宋" w:cstheme="minorBidi"/>
          <w:color w:val="000000" w:themeColor="text1"/>
          <w:kern w:val="2"/>
          <w:sz w:val="32"/>
          <w:szCs w:val="32"/>
          <w14:textFill>
            <w14:solidFill>
              <w14:schemeClr w14:val="tx1"/>
            </w14:solidFill>
          </w14:textFill>
        </w:rPr>
        <w:t>3人；50周岁以上的教师9人，35-50岁的教师23人，35岁以下的专业教师</w:t>
      </w:r>
      <w:r>
        <w:rPr>
          <w:rFonts w:hint="eastAsia" w:ascii="仿宋" w:hAnsi="仿宋" w:eastAsia="仿宋" w:cstheme="minorBidi"/>
          <w:color w:val="000000" w:themeColor="text1"/>
          <w:kern w:val="2"/>
          <w:sz w:val="32"/>
          <w:szCs w:val="32"/>
          <w:lang w:val="en-US" w:eastAsia="zh-CN"/>
          <w14:textFill>
            <w14:solidFill>
              <w14:schemeClr w14:val="tx1"/>
            </w14:solidFill>
          </w14:textFill>
        </w:rPr>
        <w:t>50</w:t>
      </w:r>
      <w:r>
        <w:rPr>
          <w:rFonts w:hint="eastAsia" w:ascii="仿宋" w:hAnsi="仿宋" w:eastAsia="仿宋" w:cstheme="minorBidi"/>
          <w:color w:val="000000" w:themeColor="text1"/>
          <w:kern w:val="2"/>
          <w:sz w:val="32"/>
          <w:szCs w:val="32"/>
          <w14:textFill>
            <w14:solidFill>
              <w14:schemeClr w14:val="tx1"/>
            </w14:solidFill>
          </w14:textFill>
        </w:rPr>
        <w:t>人；双师型教师1</w:t>
      </w:r>
      <w:r>
        <w:rPr>
          <w:rFonts w:hint="eastAsia" w:ascii="仿宋" w:hAnsi="仿宋" w:eastAsia="仿宋" w:cstheme="minorBidi"/>
          <w:color w:val="000000" w:themeColor="text1"/>
          <w:kern w:val="2"/>
          <w:sz w:val="32"/>
          <w:szCs w:val="32"/>
          <w:lang w:val="en-US" w:eastAsia="zh-CN"/>
          <w14:textFill>
            <w14:solidFill>
              <w14:schemeClr w14:val="tx1"/>
            </w14:solidFill>
          </w14:textFill>
        </w:rPr>
        <w:t>6</w:t>
      </w:r>
      <w:r>
        <w:rPr>
          <w:rFonts w:hint="eastAsia" w:ascii="仿宋" w:hAnsi="仿宋" w:eastAsia="仿宋" w:cstheme="minorBidi"/>
          <w:color w:val="000000" w:themeColor="text1"/>
          <w:kern w:val="2"/>
          <w:sz w:val="32"/>
          <w:szCs w:val="32"/>
          <w14:textFill>
            <w14:solidFill>
              <w14:schemeClr w14:val="tx1"/>
            </w14:solidFill>
          </w14:textFill>
        </w:rPr>
        <w:t>人，具有省级名师工作室成员4人，具有省信息二类教学指导委员会成员1人。师资情况与上年度相比变化如图所示（表一）：</w:t>
      </w:r>
    </w:p>
    <w:tbl>
      <w:tblPr>
        <w:tblStyle w:val="7"/>
        <w:tblW w:w="8404" w:type="dxa"/>
        <w:jc w:val="center"/>
        <w:tblLayout w:type="fixed"/>
        <w:tblCellMar>
          <w:top w:w="0" w:type="dxa"/>
          <w:left w:w="108" w:type="dxa"/>
          <w:bottom w:w="0" w:type="dxa"/>
          <w:right w:w="108" w:type="dxa"/>
        </w:tblCellMar>
      </w:tblPr>
      <w:tblGrid>
        <w:gridCol w:w="2163"/>
        <w:gridCol w:w="1154"/>
        <w:gridCol w:w="1245"/>
        <w:gridCol w:w="1200"/>
        <w:gridCol w:w="1215"/>
        <w:gridCol w:w="1427"/>
      </w:tblGrid>
      <w:tr>
        <w:tblPrEx>
          <w:tblCellMar>
            <w:top w:w="0" w:type="dxa"/>
            <w:left w:w="108" w:type="dxa"/>
            <w:bottom w:w="0" w:type="dxa"/>
            <w:right w:w="108" w:type="dxa"/>
          </w:tblCellMar>
        </w:tblPrEx>
        <w:trPr>
          <w:trHeight w:val="510" w:hRule="atLeast"/>
          <w:jc w:val="center"/>
        </w:trPr>
        <w:tc>
          <w:tcPr>
            <w:tcW w:w="8404" w:type="dxa"/>
            <w:gridSpan w:val="6"/>
            <w:tcBorders>
              <w:top w:val="nil"/>
              <w:left w:val="nil"/>
              <w:bottom w:val="single" w:color="auto" w:sz="4" w:space="0"/>
              <w:right w:val="nil"/>
            </w:tcBorders>
            <w:shd w:val="clear" w:color="auto" w:fill="auto"/>
            <w:vAlign w:val="center"/>
          </w:tcPr>
          <w:p>
            <w:pPr>
              <w:widowControl/>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表一：</w:t>
            </w:r>
          </w:p>
          <w:p>
            <w:pPr>
              <w:widowControl/>
              <w:jc w:val="center"/>
              <w:rPr>
                <w:rFonts w:ascii="仿宋" w:hAnsi="仿宋" w:eastAsia="仿宋" w:cs="宋体"/>
                <w:b/>
                <w:color w:val="000000" w:themeColor="text1"/>
                <w:kern w:val="0"/>
                <w:sz w:val="32"/>
                <w:szCs w:val="32"/>
                <w14:textFill>
                  <w14:solidFill>
                    <w14:schemeClr w14:val="tx1"/>
                  </w14:solidFill>
                </w14:textFill>
              </w:rPr>
            </w:pPr>
          </w:p>
          <w:p>
            <w:pPr>
              <w:widowControl/>
              <w:jc w:val="center"/>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师资情况与上年度相比变化</w:t>
            </w:r>
          </w:p>
        </w:tc>
      </w:tr>
      <w:tr>
        <w:tblPrEx>
          <w:tblCellMar>
            <w:top w:w="0" w:type="dxa"/>
            <w:left w:w="108" w:type="dxa"/>
            <w:bottom w:w="0" w:type="dxa"/>
            <w:right w:w="108" w:type="dxa"/>
          </w:tblCellMar>
        </w:tblPrEx>
        <w:trPr>
          <w:trHeight w:val="79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项目</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2017年</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2018年</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2019年</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增长数</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lang w:val="en-US" w:eastAsia="zh-CN" w:bidi="ar-SA"/>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增长率</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专人教师人数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44</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48</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9</w:t>
            </w:r>
            <w:r>
              <w:rPr>
                <w:rFonts w:hint="eastAsia" w:ascii="仿宋" w:hAnsi="仿宋" w:eastAsia="仿宋" w:cs="宋体"/>
                <w:color w:val="000000" w:themeColor="text1"/>
                <w:kern w:val="0"/>
                <w:sz w:val="28"/>
                <w:szCs w:val="28"/>
                <w14:textFill>
                  <w14:solidFill>
                    <w14:schemeClr w14:val="tx1"/>
                  </w14:solidFill>
                </w14:textFill>
              </w:rPr>
              <w:t>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44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91.67</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生师比</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25.5：1</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27.1：1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theme="minorBidi"/>
                <w:color w:val="000000" w:themeColor="text1"/>
                <w:kern w:val="2"/>
                <w:sz w:val="28"/>
                <w:szCs w:val="28"/>
                <w14:textFill>
                  <w14:solidFill>
                    <w14:schemeClr w14:val="tx1"/>
                  </w14:solidFill>
                </w14:textFill>
              </w:rPr>
              <w:t>3</w:t>
            </w:r>
            <w:r>
              <w:rPr>
                <w:rFonts w:hint="eastAsia" w:ascii="仿宋" w:hAnsi="仿宋" w:eastAsia="仿宋" w:cstheme="minorBidi"/>
                <w:color w:val="000000" w:themeColor="text1"/>
                <w:kern w:val="2"/>
                <w:sz w:val="28"/>
                <w:szCs w:val="28"/>
                <w:lang w:val="en-US" w:eastAsia="zh-CN"/>
                <w14:textFill>
                  <w14:solidFill>
                    <w14:schemeClr w14:val="tx1"/>
                  </w14:solidFill>
                </w14:textFill>
              </w:rPr>
              <w:t>5</w:t>
            </w:r>
            <w:r>
              <w:rPr>
                <w:rFonts w:hint="eastAsia" w:ascii="仿宋" w:hAnsi="仿宋" w:eastAsia="仿宋" w:cstheme="minorBidi"/>
                <w:color w:val="000000" w:themeColor="text1"/>
                <w:kern w:val="2"/>
                <w:sz w:val="28"/>
                <w:szCs w:val="28"/>
                <w14:textFill>
                  <w14:solidFill>
                    <w14:schemeClr w14:val="tx1"/>
                  </w14:solidFill>
                </w14:textFill>
              </w:rPr>
              <w:t>.</w:t>
            </w:r>
            <w:r>
              <w:rPr>
                <w:rFonts w:hint="eastAsia" w:ascii="仿宋" w:hAnsi="仿宋" w:eastAsia="仿宋" w:cstheme="minorBidi"/>
                <w:color w:val="000000" w:themeColor="text1"/>
                <w:kern w:val="2"/>
                <w:sz w:val="28"/>
                <w:szCs w:val="28"/>
                <w:lang w:val="en-US" w:eastAsia="zh-CN"/>
                <w14:textFill>
                  <w14:solidFill>
                    <w14:schemeClr w14:val="tx1"/>
                  </w14:solidFill>
                </w14:textFill>
              </w:rPr>
              <w:t>04</w:t>
            </w:r>
            <w:r>
              <w:rPr>
                <w:rFonts w:hint="eastAsia" w:ascii="仿宋" w:hAnsi="仿宋" w:eastAsia="仿宋" w:cstheme="minorBidi"/>
                <w:color w:val="000000" w:themeColor="text1"/>
                <w:kern w:val="2"/>
                <w:sz w:val="28"/>
                <w:szCs w:val="28"/>
                <w14:textFill>
                  <w14:solidFill>
                    <w14:schemeClr w14:val="tx1"/>
                  </w14:solidFill>
                </w14:textFill>
              </w:rPr>
              <w:t>:1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7.94:1</w:t>
            </w:r>
            <w:r>
              <w:rPr>
                <w:rFonts w:hint="eastAsia" w:ascii="仿宋" w:hAnsi="仿宋" w:eastAsia="仿宋" w:cs="宋体"/>
                <w:color w:val="000000" w:themeColor="text1"/>
                <w:kern w:val="0"/>
                <w:sz w:val="28"/>
                <w:szCs w:val="28"/>
                <w14:textFill>
                  <w14:solidFill>
                    <w14:schemeClr w14:val="tx1"/>
                  </w14:solidFill>
                </w14:textFill>
              </w:rPr>
              <w:t>　</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59</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84</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:1</w:t>
            </w:r>
          </w:p>
        </w:tc>
      </w:tr>
      <w:tr>
        <w:tblPrEx>
          <w:tblCellMar>
            <w:top w:w="0" w:type="dxa"/>
            <w:left w:w="108" w:type="dxa"/>
            <w:bottom w:w="0" w:type="dxa"/>
            <w:right w:w="108" w:type="dxa"/>
          </w:tblCellMar>
        </w:tblPrEx>
        <w:trPr>
          <w:trHeight w:val="623" w:hRule="exac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本科学历人数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30</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40.54</w:t>
            </w:r>
            <w:r>
              <w:rPr>
                <w:rFonts w:hint="eastAsia" w:ascii="仿宋" w:hAnsi="仿宋" w:eastAsia="仿宋" w:cs="宋体"/>
                <w:color w:val="000000" w:themeColor="text1"/>
                <w:kern w:val="0"/>
                <w:sz w:val="28"/>
                <w:szCs w:val="28"/>
                <w14:textFill>
                  <w14:solidFill>
                    <w14:schemeClr w14:val="tx1"/>
                  </w14:solidFill>
                </w14:textFill>
              </w:rPr>
              <w:t>%</w:t>
            </w:r>
          </w:p>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专科学历人数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39</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53</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w:t>
            </w:r>
            <w:r>
              <w:rPr>
                <w:rFonts w:hint="eastAsia" w:ascii="仿宋" w:hAnsi="仿宋" w:eastAsia="仿宋" w:cs="宋体"/>
                <w:color w:val="000000" w:themeColor="text1"/>
                <w:kern w:val="0"/>
                <w:sz w:val="28"/>
                <w:szCs w:val="28"/>
                <w14:textFill>
                  <w14:solidFill>
                    <w14:schemeClr w14:val="tx1"/>
                  </w14:solidFill>
                </w14:textFill>
              </w:rPr>
              <w:t>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35.90</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579"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兼职教师人数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21</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23.81</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外聘教师人数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28</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57</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60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实训教师人数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10</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33</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64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高级职称人数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0.</w:t>
            </w:r>
            <w:r>
              <w:rPr>
                <w:rFonts w:hint="eastAsia" w:ascii="仿宋" w:hAnsi="仿宋" w:eastAsia="仿宋" w:cs="宋体"/>
                <w:color w:val="000000" w:themeColor="text1"/>
                <w:kern w:val="0"/>
                <w:sz w:val="28"/>
                <w:szCs w:val="28"/>
                <w14:textFill>
                  <w14:solidFill>
                    <w14:schemeClr w14:val="tx1"/>
                  </w14:solidFill>
                </w14:textFill>
              </w:rPr>
              <w:t>00%</w:t>
            </w:r>
          </w:p>
        </w:tc>
      </w:tr>
      <w:tr>
        <w:tblPrEx>
          <w:tblCellMar>
            <w:top w:w="0" w:type="dxa"/>
            <w:left w:w="108" w:type="dxa"/>
            <w:bottom w:w="0" w:type="dxa"/>
            <w:right w:w="108" w:type="dxa"/>
          </w:tblCellMar>
        </w:tblPrEx>
        <w:trPr>
          <w:trHeight w:val="67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中级职称人数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6</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23.08</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660"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初级职称人数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7</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100.00</w:t>
            </w:r>
            <w:r>
              <w:rPr>
                <w:rFonts w:hint="eastAsia" w:ascii="仿宋" w:hAnsi="仿宋" w:eastAsia="仿宋" w:cs="宋体"/>
                <w:color w:val="000000" w:themeColor="text1"/>
                <w:kern w:val="0"/>
                <w:sz w:val="28"/>
                <w:szCs w:val="28"/>
                <w14:textFill>
                  <w14:solidFill>
                    <w14:schemeClr w14:val="tx1"/>
                  </w14:solidFill>
                </w14:textFill>
              </w:rPr>
              <w:t>%</w:t>
            </w:r>
          </w:p>
        </w:tc>
      </w:tr>
      <w:tr>
        <w:tblPrEx>
          <w:tblCellMar>
            <w:top w:w="0" w:type="dxa"/>
            <w:left w:w="108" w:type="dxa"/>
            <w:bottom w:w="0" w:type="dxa"/>
            <w:right w:w="108" w:type="dxa"/>
          </w:tblCellMar>
        </w:tblPrEx>
        <w:trPr>
          <w:trHeight w:val="655" w:hRule="atLeast"/>
          <w:jc w:val="center"/>
        </w:trPr>
        <w:tc>
          <w:tcPr>
            <w:tcW w:w="21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双师型人数</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0.00%</w:t>
            </w:r>
          </w:p>
        </w:tc>
      </w:tr>
    </w:tbl>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shd w:val="clear" w:color="auto" w:fill="FFFFFF"/>
          <w14:textFill>
            <w14:solidFill>
              <w14:schemeClr w14:val="tx1"/>
            </w14:solidFill>
          </w14:textFill>
        </w:rPr>
        <w:t>1.4</w:t>
      </w:r>
      <w:r>
        <w:rPr>
          <w:rFonts w:hint="eastAsia" w:ascii="仿宋" w:hAnsi="仿宋" w:eastAsia="仿宋" w:cs="仿宋"/>
          <w:b/>
          <w:bCs/>
          <w:color w:val="000000" w:themeColor="text1"/>
          <w:sz w:val="32"/>
          <w:szCs w:val="32"/>
          <w14:textFill>
            <w14:solidFill>
              <w14:schemeClr w14:val="tx1"/>
            </w14:solidFill>
          </w14:textFill>
        </w:rPr>
        <w:t>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建设有躬行楼、知行楼分别为1、2、3层为实训场地，建筑面积6120平方米，满足学校实训实验需求，2018年度校内实训设备1313.9万元，各类专业在籍人数2063人，生均6368.9元。2019年在籍人数3139人，新增无人机、机器人、新能源专业实训场地面积320平方米，新增设备价值270万元，新增实训工位数100个。2019年实训场地面积6440平方米，实训设备1583.9万元，生均5045.9元，较上一年度生均减少1323元，</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学校2018年度实训工位数1022个，生均工位数0.50个，2019年实训工位数1122个，生均工位数0.36个，2019年较上一年度生均工位数减少0.14个。</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学校2019年度实训场地面积6120平方米，生均面积3.0平方米，2019年实训场地面积6440平方米，生均面积2.1平方米，2019年较上一年度生均减少0.9平方米。</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学校2019年度纸质图书73077册，生均11册，较上一年度生均增加12册。</w:t>
      </w:r>
    </w:p>
    <w:p>
      <w:pPr>
        <w:ind w:firstLine="640" w:firstLineChars="200"/>
        <w:rPr>
          <w:rFonts w:hint="eastAsia" w:ascii="仿宋" w:hAnsi="仿宋" w:eastAsia="仿宋" w:cs="仿宋"/>
          <w:color w:val="000000" w:themeColor="text1"/>
          <w:sz w:val="32"/>
          <w:szCs w:val="32"/>
          <w14:textFill>
            <w14:solidFill>
              <w14:schemeClr w14:val="tx1"/>
            </w14:solidFill>
          </w14:textFill>
        </w:rPr>
      </w:pPr>
    </w:p>
    <w:p>
      <w:r>
        <w:rPr>
          <w:color w:val="FFFFFF" w:themeColor="background1"/>
          <w14:textFill>
            <w14:solidFill>
              <w14:schemeClr w14:val="bg1"/>
            </w14:solidFill>
          </w14:textFill>
        </w:rPr>
        <w:drawing>
          <wp:anchor distT="0" distB="0" distL="114300" distR="114300" simplePos="0" relativeHeight="251660288" behindDoc="0" locked="0" layoutInCell="1" allowOverlap="1">
            <wp:simplePos x="0" y="0"/>
            <wp:positionH relativeFrom="column">
              <wp:posOffset>66675</wp:posOffset>
            </wp:positionH>
            <wp:positionV relativeFrom="paragraph">
              <wp:posOffset>136525</wp:posOffset>
            </wp:positionV>
            <wp:extent cx="5534025" cy="3057525"/>
            <wp:effectExtent l="4445" t="4445" r="5080"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
    <w:p/>
    <w:p/>
    <w:p/>
    <w:p/>
    <w:p/>
    <w:p/>
    <w:p/>
    <w:p/>
    <w:p/>
    <w:p/>
    <w:p/>
    <w:p/>
    <w:p>
      <w:r>
        <w:rPr>
          <w:rFonts w:hint="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129540</wp:posOffset>
            </wp:positionV>
            <wp:extent cx="5534025" cy="3190875"/>
            <wp:effectExtent l="4445" t="4445" r="5080" b="508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
    <w:p/>
    <w:p/>
    <w:p/>
    <w:p/>
    <w:p/>
    <w:p/>
    <w:p>
      <w:r>
        <w:rPr>
          <w:rFonts w:hint="eastAsia"/>
        </w:rPr>
        <w:drawing>
          <wp:inline distT="0" distB="0" distL="0" distR="0">
            <wp:extent cx="5502275" cy="3076575"/>
            <wp:effectExtent l="5080" t="4445" r="1714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jc w:val="left"/>
        <w:rPr>
          <w:rFonts w:ascii="仿宋" w:hAnsi="仿宋" w:eastAsia="仿宋" w:cs="仿宋_GB2312"/>
          <w:bCs/>
          <w:sz w:val="32"/>
          <w:szCs w:val="32"/>
        </w:rPr>
      </w:pPr>
      <w:r>
        <w:rPr>
          <w:rFonts w:hint="eastAsia"/>
        </w:rPr>
        <w:drawing>
          <wp:inline distT="0" distB="0" distL="0" distR="0">
            <wp:extent cx="5274310" cy="3076575"/>
            <wp:effectExtent l="5080" t="4445" r="1651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ascii="仿宋" w:hAnsi="仿宋" w:eastAsia="仿宋" w:cs="仿宋_GB2312"/>
          <w:b/>
          <w:bCs/>
          <w:sz w:val="36"/>
          <w:szCs w:val="36"/>
        </w:rPr>
      </w:pPr>
    </w:p>
    <w:p>
      <w:pPr>
        <w:rPr>
          <w:rFonts w:ascii="仿宋" w:hAnsi="仿宋" w:eastAsia="仿宋" w:cs="仿宋_GB2312"/>
          <w:b/>
          <w:bCs/>
          <w:color w:val="000000" w:themeColor="text1"/>
          <w:sz w:val="36"/>
          <w:szCs w:val="36"/>
          <w14:textFill>
            <w14:solidFill>
              <w14:schemeClr w14:val="tx1"/>
            </w14:solidFill>
          </w14:textFill>
        </w:rPr>
      </w:pPr>
      <w:r>
        <w:rPr>
          <w:rFonts w:hint="eastAsia" w:ascii="仿宋" w:hAnsi="仿宋" w:eastAsia="仿宋" w:cs="仿宋_GB2312"/>
          <w:b/>
          <w:bCs/>
          <w:color w:val="000000" w:themeColor="text1"/>
          <w:sz w:val="36"/>
          <w:szCs w:val="36"/>
          <w14:textFill>
            <w14:solidFill>
              <w14:schemeClr w14:val="tx1"/>
            </w14:solidFill>
          </w14:textFill>
        </w:rPr>
        <w:t>二、学生发展</w:t>
      </w:r>
    </w:p>
    <w:p>
      <w:pPr>
        <w:ind w:firstLine="643" w:firstLineChars="200"/>
        <w:rPr>
          <w:rFonts w:ascii="仿宋" w:hAnsi="仿宋" w:eastAsia="仿宋" w:cs="仿宋_GB2312"/>
          <w:b/>
          <w:bCs/>
          <w:color w:val="000000" w:themeColor="text1"/>
          <w:sz w:val="36"/>
          <w:szCs w:val="36"/>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2.1学生素质</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我校秉承立德树人、德技兼修的原则</w:t>
      </w:r>
      <w:r>
        <w:rPr>
          <w:rFonts w:ascii="仿宋" w:hAnsi="仿宋" w:eastAsia="仿宋" w:cstheme="minorBidi"/>
          <w:color w:val="000000" w:themeColor="text1"/>
          <w:kern w:val="2"/>
          <w:sz w:val="32"/>
          <w:szCs w:val="32"/>
          <w14:textFill>
            <w14:solidFill>
              <w14:schemeClr w14:val="tx1"/>
            </w14:solidFill>
          </w14:textFill>
        </w:rPr>
        <w:t>，</w:t>
      </w:r>
      <w:r>
        <w:rPr>
          <w:rFonts w:hint="eastAsia" w:ascii="仿宋" w:hAnsi="仿宋" w:eastAsia="仿宋" w:cstheme="minorBidi"/>
          <w:color w:val="000000" w:themeColor="text1"/>
          <w:kern w:val="2"/>
          <w:sz w:val="32"/>
          <w:szCs w:val="32"/>
          <w14:textFill>
            <w14:solidFill>
              <w14:schemeClr w14:val="tx1"/>
            </w14:solidFill>
          </w14:textFill>
        </w:rPr>
        <w:t>优化育人措施，培养德技兼修人才。首先，在</w:t>
      </w:r>
      <w:r>
        <w:rPr>
          <w:rFonts w:ascii="仿宋" w:hAnsi="仿宋" w:eastAsia="仿宋" w:cstheme="minorBidi"/>
          <w:color w:val="000000" w:themeColor="text1"/>
          <w:kern w:val="2"/>
          <w:sz w:val="32"/>
          <w:szCs w:val="32"/>
          <w14:textFill>
            <w14:solidFill>
              <w14:schemeClr w14:val="tx1"/>
            </w14:solidFill>
          </w14:textFill>
        </w:rPr>
        <w:t>课程设置上</w:t>
      </w:r>
      <w:r>
        <w:rPr>
          <w:rFonts w:hint="eastAsia" w:ascii="仿宋" w:hAnsi="仿宋" w:eastAsia="仿宋" w:cstheme="minorBidi"/>
          <w:color w:val="000000" w:themeColor="text1"/>
          <w:kern w:val="2"/>
          <w:sz w:val="32"/>
          <w:szCs w:val="32"/>
          <w14:textFill>
            <w14:solidFill>
              <w14:schemeClr w14:val="tx1"/>
            </w14:solidFill>
          </w14:textFill>
        </w:rPr>
        <w:t>，</w:t>
      </w:r>
      <w:r>
        <w:rPr>
          <w:rFonts w:ascii="仿宋" w:hAnsi="仿宋" w:eastAsia="仿宋" w:cstheme="minorBidi"/>
          <w:color w:val="000000" w:themeColor="text1"/>
          <w:kern w:val="2"/>
          <w:sz w:val="32"/>
          <w:szCs w:val="32"/>
          <w14:textFill>
            <w14:solidFill>
              <w14:schemeClr w14:val="tx1"/>
            </w14:solidFill>
          </w14:textFill>
        </w:rPr>
        <w:t>公共基础课程和专业技能课程</w:t>
      </w:r>
      <w:r>
        <w:rPr>
          <w:rFonts w:hint="eastAsia" w:ascii="仿宋" w:hAnsi="仿宋" w:eastAsia="仿宋" w:cstheme="minorBidi"/>
          <w:color w:val="000000" w:themeColor="text1"/>
          <w:kern w:val="2"/>
          <w:sz w:val="32"/>
          <w:szCs w:val="32"/>
          <w14:textFill>
            <w14:solidFill>
              <w14:schemeClr w14:val="tx1"/>
            </w14:solidFill>
          </w14:textFill>
        </w:rPr>
        <w:t>科学开设、学时分配合理，加强了对学生思想素质的提高和专业技术技能的提升。2019年，文化课合格率93%，体质测评合格率98%，专业技能合格率84%，职业资格证考证率83%，一次性毕业率94%（与上一年度相比变化情况如图7）。在教学中，突出了以诚信、敬业为重点的职业道德教育，强化了思想政治教育，重视了心理健康教育和情商教育，发挥了学校教育、家庭教育和社会教育的合力，把学生培养成了具有良好的思想道德品质、拥有熟练的职业技能、善于创新创业的高素质劳动者。其次，在学生管理工作中，强化学生良好品德行为习惯的养成，探索学生良好心理素质形成的规律与方法；注重加强学生日常行为规范、文明礼貌和养成教育；深入开展诚信、感恩、挫折教育，提升学生自我完善的内驱力；以公民道德和普法教育为重点，加强对学生的法制、交通安全、消防知识、反校园欺凌专项整治等教育；以组织活动为载体，增强学生的凝聚力，丰富学生的精神文化生活，培养学生良好的行为品质，促进学生健康、全面发展。</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图7：</w:t>
      </w:r>
    </w:p>
    <w:p>
      <w:pPr>
        <w:pStyle w:val="6"/>
        <w:spacing w:before="0" w:beforeAutospacing="0" w:after="0" w:afterAutospacing="0" w:line="360" w:lineRule="auto"/>
        <w:jc w:val="both"/>
        <w:rPr>
          <w:rFonts w:ascii="仿宋" w:hAnsi="仿宋" w:eastAsia="仿宋" w:cstheme="minorBidi"/>
          <w:color w:val="000000" w:themeColor="text1"/>
          <w:kern w:val="2"/>
          <w:sz w:val="32"/>
          <w:szCs w:val="32"/>
          <w14:textFill>
            <w14:solidFill>
              <w14:schemeClr w14:val="tx1"/>
            </w14:solidFill>
          </w14:textFill>
        </w:rPr>
      </w:pPr>
      <w:r>
        <w:drawing>
          <wp:inline distT="0" distB="0" distL="114300" distR="114300">
            <wp:extent cx="5214620" cy="2980690"/>
            <wp:effectExtent l="5080" t="4445" r="19050" b="571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2.2在校体验</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建设和谐幸福校园是我校的重点工作，学校通过问卷调查的形式进行了各项满意度调查，通过随机抽取数据分析，全校学生理论学习满意度99%，专业学习满意度96%，校内实习满意度96%，校外实习满意度96.2%，校园文化社团活动满意度96%，生活满意度98.1%，安全满意度98.7%，毕业生满意度94.3%（图8）。</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图8</w:t>
      </w:r>
    </w:p>
    <w:p>
      <w:pPr>
        <w:rPr>
          <w:rFonts w:ascii="仿宋" w:hAnsi="仿宋" w:eastAsia="仿宋" w:cs="仿宋_GB2312"/>
          <w:sz w:val="32"/>
          <w:szCs w:val="32"/>
        </w:rPr>
      </w:pPr>
      <w:r>
        <w:drawing>
          <wp:inline distT="0" distB="0" distL="114300" distR="114300">
            <wp:extent cx="5248275" cy="2781300"/>
            <wp:effectExtent l="4445" t="4445" r="5080" b="14605"/>
            <wp:docPr id="1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2.3资助情况</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在市、区教育主管部门领导下，在资助评审过程中，本着公开、公平、公正的原则，资助范围、资助对象、资助标准符合政策要求不存在暗箱操作、人为调节分配或平均分配、不讲人情，对评审结果进行有效公示。</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2019年春季2016级免学费人数438人，2017级448人,2018级1021人，合计1907人，共计金额181.165万元；享受助学金人数518人，合计金额51.8万元。</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2019年秋季2017级免学费人数448人，2018级944人，2019级1626人，合计3018人，共计金额286.71万元；享受助学金人数1248人，合计金额124.8万元。学生助学金均已打卡发放到每一位学生手里。</w:t>
      </w:r>
    </w:p>
    <w:p>
      <w:pPr>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2.4就业质量</w:t>
      </w:r>
    </w:p>
    <w:p>
      <w:pPr>
        <w:ind w:firstLine="660" w:firstLineChars="200"/>
        <w:rPr>
          <w:rFonts w:ascii="仿宋" w:hAnsi="仿宋" w:eastAsia="仿宋" w:cs="仿宋"/>
          <w:color w:val="000000" w:themeColor="text1"/>
          <w:sz w:val="33"/>
          <w14:textFill>
            <w14:solidFill>
              <w14:schemeClr w14:val="tx1"/>
            </w14:solidFill>
          </w14:textFill>
        </w:rPr>
      </w:pPr>
      <w:r>
        <w:rPr>
          <w:rFonts w:hint="eastAsia" w:ascii="仿宋" w:hAnsi="仿宋" w:eastAsia="仿宋" w:cs="仿宋"/>
          <w:color w:val="000000" w:themeColor="text1"/>
          <w:sz w:val="33"/>
          <w14:textFill>
            <w14:solidFill>
              <w14:schemeClr w14:val="tx1"/>
            </w14:solidFill>
          </w14:textFill>
        </w:rPr>
        <w:t>2019年度由于毕业生少于往年，就业人数、升学人数也相应有所减少。但毕业生平均月薪提高，就业质量有所提升，毕业生对学校的满意度也有所提升。具体数据见下表：</w:t>
      </w:r>
    </w:p>
    <w:p>
      <w:pPr>
        <w:ind w:firstLine="2634" w:firstLineChars="640"/>
        <w:rPr>
          <w:rFonts w:ascii="仿宋" w:hAnsi="仿宋" w:eastAsia="仿宋" w:cs="仿宋"/>
          <w:b/>
          <w:color w:val="000000" w:themeColor="text1"/>
          <w:sz w:val="41"/>
          <w14:textFill>
            <w14:solidFill>
              <w14:schemeClr w14:val="tx1"/>
            </w14:solidFill>
          </w14:textFill>
        </w:rPr>
      </w:pPr>
      <w:r>
        <w:rPr>
          <w:rFonts w:hint="eastAsia" w:ascii="仿宋" w:hAnsi="仿宋" w:eastAsia="仿宋" w:cs="仿宋"/>
          <w:b/>
          <w:color w:val="000000" w:themeColor="text1"/>
          <w:sz w:val="41"/>
          <w14:textFill>
            <w14:solidFill>
              <w14:schemeClr w14:val="tx1"/>
            </w14:solidFill>
          </w14:textFill>
        </w:rPr>
        <w:t>毕业生就业情况表</w:t>
      </w:r>
    </w:p>
    <w:p>
      <w:pPr>
        <w:ind w:firstLine="2972" w:firstLineChars="800"/>
        <w:rPr>
          <w:rFonts w:ascii="仿宋" w:hAnsi="仿宋" w:eastAsia="仿宋" w:cs="仿宋"/>
          <w:b/>
          <w:color w:val="000000" w:themeColor="text1"/>
          <w:sz w:val="37"/>
          <w14:textFill>
            <w14:solidFill>
              <w14:schemeClr w14:val="tx1"/>
            </w14:solidFill>
          </w14:textFill>
        </w:rPr>
      </w:pPr>
    </w:p>
    <w:tbl>
      <w:tblPr>
        <w:tblStyle w:val="8"/>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4"/>
        <w:gridCol w:w="1564"/>
        <w:gridCol w:w="1564"/>
        <w:gridCol w:w="1443"/>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项  目</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2018年</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2019年</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增长数</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毕业生人数</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789</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500</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-289</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毕业率（巩固率）</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95%</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就业人数</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775</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483</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-292</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就业率</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98%</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96.6%</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升学人数</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91</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52</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-39</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直接就业率</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88%</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89%</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毕业生平均月收入</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2600</w:t>
            </w:r>
          </w:p>
        </w:tc>
        <w:tc>
          <w:tcPr>
            <w:tcW w:w="1564" w:type="dxa"/>
            <w:vAlign w:val="center"/>
          </w:tcPr>
          <w:p>
            <w:pPr>
              <w:ind w:firstLine="250" w:firstLineChars="100"/>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2800</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200</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毕业生初次就业起薪</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2200</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2350</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150</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用人单位满意度（抽样）</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93%</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95%</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创业率</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12</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4</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-8</w:t>
            </w: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31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毕业生就业满意度（抽样）</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95%</w:t>
            </w:r>
          </w:p>
        </w:tc>
        <w:tc>
          <w:tcPr>
            <w:tcW w:w="156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96%</w:t>
            </w:r>
          </w:p>
        </w:tc>
        <w:tc>
          <w:tcPr>
            <w:tcW w:w="1443" w:type="dxa"/>
            <w:vAlign w:val="center"/>
          </w:tcPr>
          <w:p>
            <w:pPr>
              <w:jc w:val="center"/>
              <w:rPr>
                <w:rFonts w:ascii="仿宋" w:hAnsi="仿宋" w:eastAsia="仿宋" w:cs="仿宋"/>
                <w:color w:val="000000" w:themeColor="text1"/>
                <w:sz w:val="25"/>
                <w14:textFill>
                  <w14:solidFill>
                    <w14:schemeClr w14:val="tx1"/>
                  </w14:solidFill>
                </w14:textFill>
              </w:rPr>
            </w:pPr>
          </w:p>
        </w:tc>
        <w:tc>
          <w:tcPr>
            <w:tcW w:w="1424"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w:t>
            </w:r>
          </w:p>
        </w:tc>
      </w:tr>
    </w:tbl>
    <w:p>
      <w:pPr>
        <w:rPr>
          <w:rFonts w:hint="eastAsia" w:ascii="仿宋" w:hAnsi="仿宋" w:eastAsia="仿宋" w:cs="仿宋"/>
          <w:color w:val="C00000"/>
          <w:sz w:val="33"/>
        </w:rPr>
      </w:pPr>
    </w:p>
    <w:p>
      <w:pPr>
        <w:rPr>
          <w:rFonts w:hint="eastAsia" w:ascii="仿宋" w:hAnsi="仿宋" w:eastAsia="仿宋" w:cs="仿宋"/>
          <w:color w:val="C00000"/>
          <w:sz w:val="33"/>
        </w:rPr>
      </w:pPr>
    </w:p>
    <w:p>
      <w:pPr>
        <w:rPr>
          <w:rFonts w:ascii="仿宋" w:hAnsi="仿宋" w:eastAsia="仿宋" w:cs="仿宋"/>
          <w:b/>
          <w:color w:val="000000" w:themeColor="text1"/>
          <w:sz w:val="37"/>
          <w14:textFill>
            <w14:solidFill>
              <w14:schemeClr w14:val="tx1"/>
            </w14:solidFill>
          </w14:textFill>
        </w:rPr>
      </w:pPr>
      <w:r>
        <w:rPr>
          <w:rFonts w:hint="eastAsia" w:ascii="仿宋" w:hAnsi="仿宋" w:eastAsia="仿宋" w:cs="仿宋"/>
          <w:b/>
          <w:color w:val="000000" w:themeColor="text1"/>
          <w:sz w:val="37"/>
          <w14:textFill>
            <w14:solidFill>
              <w14:schemeClr w14:val="tx1"/>
            </w14:solidFill>
          </w14:textFill>
        </w:rPr>
        <w:t>2019年度毕业生分专业类别就业率、对口率统计表</w:t>
      </w:r>
    </w:p>
    <w:tbl>
      <w:tblPr>
        <w:tblStyle w:val="8"/>
        <w:tblpPr w:leftFromText="180" w:rightFromText="180" w:vertAnchor="page" w:horzAnchor="page" w:tblpX="1615" w:tblpY="3209"/>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1725"/>
        <w:gridCol w:w="1500"/>
        <w:gridCol w:w="1165"/>
        <w:gridCol w:w="1439"/>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40" w:type="dxa"/>
            <w:vAlign w:val="center"/>
          </w:tcPr>
          <w:p>
            <w:pPr>
              <w:jc w:val="center"/>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专业名称</w:t>
            </w:r>
          </w:p>
        </w:tc>
        <w:tc>
          <w:tcPr>
            <w:tcW w:w="1725" w:type="dxa"/>
            <w:vAlign w:val="center"/>
          </w:tcPr>
          <w:p>
            <w:pPr>
              <w:jc w:val="center"/>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毕业生总人</w:t>
            </w:r>
          </w:p>
        </w:tc>
        <w:tc>
          <w:tcPr>
            <w:tcW w:w="1500" w:type="dxa"/>
            <w:vAlign w:val="center"/>
          </w:tcPr>
          <w:p>
            <w:pPr>
              <w:jc w:val="center"/>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就业人数</w:t>
            </w:r>
          </w:p>
        </w:tc>
        <w:tc>
          <w:tcPr>
            <w:tcW w:w="1165" w:type="dxa"/>
            <w:vAlign w:val="center"/>
          </w:tcPr>
          <w:p>
            <w:pPr>
              <w:jc w:val="center"/>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就业率</w:t>
            </w:r>
          </w:p>
        </w:tc>
        <w:tc>
          <w:tcPr>
            <w:tcW w:w="1439" w:type="dxa"/>
            <w:vAlign w:val="center"/>
          </w:tcPr>
          <w:p>
            <w:pPr>
              <w:ind w:firstLine="270" w:firstLineChars="100"/>
              <w:rPr>
                <w:rFonts w:hint="eastAsia" w:ascii="仿宋" w:hAnsi="仿宋" w:eastAsia="仿宋" w:cs="仿宋"/>
                <w:color w:val="000000" w:themeColor="text1"/>
                <w:sz w:val="27"/>
                <w:lang w:eastAsia="zh-CN"/>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对口</w:t>
            </w:r>
          </w:p>
          <w:p>
            <w:pPr>
              <w:ind w:firstLine="270" w:firstLineChars="100"/>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就业人数</w:t>
            </w:r>
          </w:p>
        </w:tc>
        <w:tc>
          <w:tcPr>
            <w:tcW w:w="1446" w:type="dxa"/>
            <w:vAlign w:val="center"/>
          </w:tcPr>
          <w:p>
            <w:pPr>
              <w:ind w:firstLine="405" w:firstLineChars="150"/>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对口</w:t>
            </w:r>
          </w:p>
          <w:p>
            <w:pPr>
              <w:jc w:val="center"/>
              <w:rPr>
                <w:rFonts w:ascii="仿宋" w:hAnsi="仿宋" w:eastAsia="仿宋" w:cs="仿宋"/>
                <w:color w:val="000000" w:themeColor="text1"/>
                <w:sz w:val="27"/>
                <w14:textFill>
                  <w14:solidFill>
                    <w14:schemeClr w14:val="tx1"/>
                  </w14:solidFill>
                </w14:textFill>
              </w:rPr>
            </w:pPr>
            <w:r>
              <w:rPr>
                <w:rFonts w:hint="eastAsia" w:ascii="仿宋" w:hAnsi="仿宋" w:eastAsia="仿宋" w:cs="仿宋"/>
                <w:color w:val="000000" w:themeColor="text1"/>
                <w:sz w:val="27"/>
                <w14:textFill>
                  <w14:solidFill>
                    <w14:schemeClr w14:val="tx1"/>
                  </w14:solidFill>
                </w14:textFill>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能源与新能源类</w:t>
            </w:r>
          </w:p>
        </w:tc>
        <w:tc>
          <w:tcPr>
            <w:tcW w:w="172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w:t>
            </w:r>
          </w:p>
        </w:tc>
        <w:tc>
          <w:tcPr>
            <w:tcW w:w="150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c>
          <w:tcPr>
            <w:tcW w:w="1439"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20</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土木水利类</w:t>
            </w:r>
          </w:p>
        </w:tc>
        <w:tc>
          <w:tcPr>
            <w:tcW w:w="172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w:t>
            </w:r>
          </w:p>
        </w:tc>
        <w:tc>
          <w:tcPr>
            <w:tcW w:w="150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c>
          <w:tcPr>
            <w:tcW w:w="1439"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2</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加工制造类</w:t>
            </w:r>
          </w:p>
        </w:tc>
        <w:tc>
          <w:tcPr>
            <w:tcW w:w="172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w:t>
            </w:r>
          </w:p>
        </w:tc>
        <w:tc>
          <w:tcPr>
            <w:tcW w:w="150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c>
          <w:tcPr>
            <w:tcW w:w="1439"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交通运输类</w:t>
            </w:r>
          </w:p>
        </w:tc>
        <w:tc>
          <w:tcPr>
            <w:tcW w:w="1725" w:type="dxa"/>
            <w:vAlign w:val="center"/>
          </w:tcPr>
          <w:p>
            <w:pPr>
              <w:jc w:val="center"/>
              <w:rPr>
                <w:rFonts w:hint="eastAsia"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38</w:t>
            </w:r>
            <w:r>
              <w:rPr>
                <w:rFonts w:hint="eastAsia" w:ascii="仿宋" w:hAnsi="仿宋" w:eastAsia="仿宋" w:cs="仿宋"/>
                <w:color w:val="000000" w:themeColor="text1"/>
                <w:sz w:val="25"/>
                <w:lang w:val="en-US" w:eastAsia="zh-CN"/>
                <w14:textFill>
                  <w14:solidFill>
                    <w14:schemeClr w14:val="tx1"/>
                  </w14:solidFill>
                </w14:textFill>
              </w:rPr>
              <w:t>0</w:t>
            </w:r>
          </w:p>
        </w:tc>
        <w:tc>
          <w:tcPr>
            <w:tcW w:w="1500" w:type="dxa"/>
            <w:vAlign w:val="center"/>
          </w:tcPr>
          <w:p>
            <w:pPr>
              <w:jc w:val="center"/>
              <w:rPr>
                <w:rFonts w:hint="default"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w:t>
            </w:r>
            <w:r>
              <w:rPr>
                <w:rFonts w:hint="eastAsia" w:ascii="仿宋" w:hAnsi="仿宋" w:eastAsia="仿宋" w:cs="仿宋"/>
                <w:color w:val="000000" w:themeColor="text1"/>
                <w:sz w:val="25"/>
                <w:lang w:val="en-US" w:eastAsia="zh-CN"/>
                <w14:textFill>
                  <w14:solidFill>
                    <w14:schemeClr w14:val="tx1"/>
                  </w14:solidFill>
                </w14:textFill>
              </w:rPr>
              <w:t>66</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w:t>
            </w:r>
            <w:r>
              <w:rPr>
                <w:rFonts w:hint="eastAsia" w:ascii="仿宋" w:hAnsi="仿宋" w:eastAsia="仿宋" w:cs="仿宋"/>
                <w:color w:val="000000" w:themeColor="text1"/>
                <w:sz w:val="25"/>
                <w:lang w:val="en-US" w:eastAsia="zh-CN"/>
                <w14:textFill>
                  <w14:solidFill>
                    <w14:schemeClr w14:val="tx1"/>
                  </w14:solidFill>
                </w14:textFill>
              </w:rPr>
              <w:t>6</w:t>
            </w:r>
            <w:r>
              <w:rPr>
                <w:rFonts w:hint="eastAsia" w:ascii="仿宋" w:hAnsi="仿宋" w:eastAsia="仿宋" w:cs="仿宋"/>
                <w:color w:val="000000" w:themeColor="text1"/>
                <w:sz w:val="25"/>
                <w14:textFill>
                  <w14:solidFill>
                    <w14:schemeClr w14:val="tx1"/>
                  </w14:solidFill>
                </w14:textFill>
              </w:rPr>
              <w:t>%</w:t>
            </w:r>
          </w:p>
        </w:tc>
        <w:tc>
          <w:tcPr>
            <w:tcW w:w="1439" w:type="dxa"/>
            <w:vAlign w:val="center"/>
          </w:tcPr>
          <w:p>
            <w:pPr>
              <w:jc w:val="center"/>
              <w:rPr>
                <w:rFonts w:hint="default"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3</w:t>
            </w:r>
            <w:r>
              <w:rPr>
                <w:rFonts w:hint="eastAsia" w:ascii="仿宋" w:hAnsi="仿宋" w:eastAsia="仿宋" w:cs="仿宋"/>
                <w:color w:val="000000" w:themeColor="text1"/>
                <w:sz w:val="25"/>
                <w:lang w:val="en-US" w:eastAsia="zh-CN"/>
                <w14:textFill>
                  <w14:solidFill>
                    <w14:schemeClr w14:val="tx1"/>
                  </w14:solidFill>
                </w14:textFill>
              </w:rPr>
              <w:t>26</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lang w:val="en-US" w:eastAsia="zh-CN"/>
                <w14:textFill>
                  <w14:solidFill>
                    <w14:schemeClr w14:val="tx1"/>
                  </w14:solidFill>
                </w14:textFill>
              </w:rPr>
              <w:t>89</w:t>
            </w:r>
            <w:r>
              <w:rPr>
                <w:rFonts w:hint="eastAsia" w:ascii="仿宋" w:hAnsi="仿宋" w:eastAsia="仿宋" w:cs="仿宋"/>
                <w:color w:val="000000" w:themeColor="text1"/>
                <w:sz w:val="2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信息技术类</w:t>
            </w:r>
          </w:p>
        </w:tc>
        <w:tc>
          <w:tcPr>
            <w:tcW w:w="1725" w:type="dxa"/>
            <w:vAlign w:val="center"/>
          </w:tcPr>
          <w:p>
            <w:pPr>
              <w:jc w:val="center"/>
              <w:rPr>
                <w:rFonts w:hint="default"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lang w:val="en-US" w:eastAsia="zh-CN"/>
                <w14:textFill>
                  <w14:solidFill>
                    <w14:schemeClr w14:val="tx1"/>
                  </w14:solidFill>
                </w14:textFill>
              </w:rPr>
              <w:t>80</w:t>
            </w:r>
          </w:p>
        </w:tc>
        <w:tc>
          <w:tcPr>
            <w:tcW w:w="1500" w:type="dxa"/>
            <w:vAlign w:val="center"/>
          </w:tcPr>
          <w:p>
            <w:pPr>
              <w:jc w:val="center"/>
              <w:rPr>
                <w:rFonts w:hint="eastAsia"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7</w:t>
            </w:r>
            <w:r>
              <w:rPr>
                <w:rFonts w:hint="eastAsia" w:ascii="仿宋" w:hAnsi="仿宋" w:eastAsia="仿宋" w:cs="仿宋"/>
                <w:color w:val="000000" w:themeColor="text1"/>
                <w:sz w:val="25"/>
                <w:lang w:val="en-US" w:eastAsia="zh-CN"/>
                <w14:textFill>
                  <w14:solidFill>
                    <w14:schemeClr w14:val="tx1"/>
                  </w14:solidFill>
                </w14:textFill>
              </w:rPr>
              <w:t>7</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w:t>
            </w:r>
            <w:r>
              <w:rPr>
                <w:rFonts w:hint="eastAsia" w:ascii="仿宋" w:hAnsi="仿宋" w:eastAsia="仿宋" w:cs="仿宋"/>
                <w:color w:val="000000" w:themeColor="text1"/>
                <w:sz w:val="25"/>
                <w:lang w:val="en-US" w:eastAsia="zh-CN"/>
                <w14:textFill>
                  <w14:solidFill>
                    <w14:schemeClr w14:val="tx1"/>
                  </w14:solidFill>
                </w14:textFill>
              </w:rPr>
              <w:t>6</w:t>
            </w:r>
            <w:r>
              <w:rPr>
                <w:rFonts w:hint="eastAsia" w:ascii="仿宋" w:hAnsi="仿宋" w:eastAsia="仿宋" w:cs="仿宋"/>
                <w:color w:val="000000" w:themeColor="text1"/>
                <w:sz w:val="25"/>
                <w14:textFill>
                  <w14:solidFill>
                    <w14:schemeClr w14:val="tx1"/>
                  </w14:solidFill>
                </w14:textFill>
              </w:rPr>
              <w:t>%</w:t>
            </w:r>
          </w:p>
        </w:tc>
        <w:tc>
          <w:tcPr>
            <w:tcW w:w="1439" w:type="dxa"/>
            <w:vAlign w:val="center"/>
          </w:tcPr>
          <w:p>
            <w:pPr>
              <w:jc w:val="center"/>
              <w:rPr>
                <w:rFonts w:hint="default" w:ascii="仿宋" w:hAnsi="仿宋" w:eastAsia="仿宋" w:cs="仿宋"/>
                <w:color w:val="000000" w:themeColor="text1"/>
                <w:sz w:val="25"/>
                <w:lang w:val="en-US" w:eastAsia="zh-CN"/>
                <w14:textFill>
                  <w14:solidFill>
                    <w14:schemeClr w14:val="tx1"/>
                  </w14:solidFill>
                </w14:textFill>
              </w:rPr>
            </w:pPr>
            <w:r>
              <w:rPr>
                <w:rFonts w:hint="eastAsia" w:ascii="仿宋" w:hAnsi="仿宋" w:eastAsia="仿宋" w:cs="仿宋"/>
                <w:color w:val="000000" w:themeColor="text1"/>
                <w:sz w:val="25"/>
                <w:lang w:val="en-US" w:eastAsia="zh-CN"/>
                <w14:textFill>
                  <w14:solidFill>
                    <w14:schemeClr w14:val="tx1"/>
                  </w14:solidFill>
                </w14:textFill>
              </w:rPr>
              <w:t>75</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9</w:t>
            </w:r>
            <w:r>
              <w:rPr>
                <w:rFonts w:hint="eastAsia" w:ascii="仿宋" w:hAnsi="仿宋" w:eastAsia="仿宋" w:cs="仿宋"/>
                <w:color w:val="000000" w:themeColor="text1"/>
                <w:sz w:val="25"/>
                <w:lang w:val="en-US" w:eastAsia="zh-CN"/>
                <w14:textFill>
                  <w14:solidFill>
                    <w14:schemeClr w14:val="tx1"/>
                  </w14:solidFill>
                </w14:textFill>
              </w:rPr>
              <w:t>7</w:t>
            </w:r>
            <w:r>
              <w:rPr>
                <w:rFonts w:hint="eastAsia" w:ascii="仿宋" w:hAnsi="仿宋" w:eastAsia="仿宋" w:cs="仿宋"/>
                <w:color w:val="000000" w:themeColor="text1"/>
                <w:sz w:val="2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04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财贸商贸类</w:t>
            </w:r>
          </w:p>
        </w:tc>
        <w:tc>
          <w:tcPr>
            <w:tcW w:w="172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17</w:t>
            </w:r>
          </w:p>
        </w:tc>
        <w:tc>
          <w:tcPr>
            <w:tcW w:w="1500"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17</w:t>
            </w:r>
          </w:p>
        </w:tc>
        <w:tc>
          <w:tcPr>
            <w:tcW w:w="1165"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c>
          <w:tcPr>
            <w:tcW w:w="1439"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17</w:t>
            </w:r>
          </w:p>
        </w:tc>
        <w:tc>
          <w:tcPr>
            <w:tcW w:w="1446" w:type="dxa"/>
            <w:vAlign w:val="center"/>
          </w:tcPr>
          <w:p>
            <w:pPr>
              <w:jc w:val="center"/>
              <w:rPr>
                <w:rFonts w:ascii="仿宋" w:hAnsi="仿宋" w:eastAsia="仿宋" w:cs="仿宋"/>
                <w:color w:val="000000" w:themeColor="text1"/>
                <w:sz w:val="25"/>
                <w14:textFill>
                  <w14:solidFill>
                    <w14:schemeClr w14:val="tx1"/>
                  </w14:solidFill>
                </w14:textFill>
              </w:rPr>
            </w:pPr>
            <w:r>
              <w:rPr>
                <w:rFonts w:hint="eastAsia" w:ascii="仿宋" w:hAnsi="仿宋" w:eastAsia="仿宋" w:cs="仿宋"/>
                <w:color w:val="000000" w:themeColor="text1"/>
                <w:sz w:val="25"/>
                <w14:textFill>
                  <w14:solidFill>
                    <w14:schemeClr w14:val="tx1"/>
                  </w14:solidFill>
                </w14:textFill>
              </w:rPr>
              <w:t>100%</w:t>
            </w:r>
          </w:p>
        </w:tc>
      </w:tr>
    </w:tbl>
    <w:p>
      <w:pPr>
        <w:rPr>
          <w:rFonts w:ascii="仿宋" w:hAnsi="仿宋" w:eastAsia="仿宋" w:cs="仿宋"/>
          <w:b/>
          <w:color w:val="000000" w:themeColor="text1"/>
          <w:sz w:val="31"/>
          <w14:textFill>
            <w14:solidFill>
              <w14:schemeClr w14:val="tx1"/>
            </w14:solidFill>
          </w14:textFill>
        </w:rPr>
      </w:pPr>
    </w:p>
    <w:p>
      <w:pPr>
        <w:ind w:firstLine="1660" w:firstLineChars="447"/>
        <w:rPr>
          <w:rFonts w:ascii="仿宋" w:hAnsi="仿宋" w:eastAsia="仿宋" w:cs="仿宋"/>
          <w:b/>
          <w:color w:val="000000" w:themeColor="text1"/>
          <w:sz w:val="37"/>
          <w14:textFill>
            <w14:solidFill>
              <w14:schemeClr w14:val="tx1"/>
            </w14:solidFill>
          </w14:textFill>
        </w:rPr>
      </w:pPr>
      <w:r>
        <w:rPr>
          <w:rFonts w:hint="eastAsia" w:ascii="仿宋" w:hAnsi="仿宋" w:eastAsia="仿宋" w:cs="仿宋"/>
          <w:b/>
          <w:color w:val="000000" w:themeColor="text1"/>
          <w:sz w:val="37"/>
          <w14:textFill>
            <w14:solidFill>
              <w14:schemeClr w14:val="tx1"/>
            </w14:solidFill>
          </w14:textFill>
        </w:rPr>
        <w:t>2019年各专业毕业生对口就业人数</w:t>
      </w:r>
    </w:p>
    <w:p>
      <w:pPr>
        <w:rPr>
          <w:rFonts w:ascii="仿宋" w:hAnsi="仿宋" w:eastAsia="仿宋" w:cs="仿宋_GB2312"/>
          <w:b/>
          <w:bCs/>
          <w:sz w:val="32"/>
          <w:szCs w:val="32"/>
        </w:rPr>
      </w:pPr>
      <w:r>
        <w:rPr>
          <w:rFonts w:ascii="宋体" w:hAnsi="宋体" w:eastAsia="宋体" w:cs="宋体"/>
          <w:sz w:val="24"/>
        </w:rPr>
        <w:drawing>
          <wp:inline distT="0" distB="0" distL="114300" distR="114300">
            <wp:extent cx="5505450" cy="3481705"/>
            <wp:effectExtent l="0" t="0" r="0" b="44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3"/>
                    <a:stretch>
                      <a:fillRect/>
                    </a:stretch>
                  </pic:blipFill>
                  <pic:spPr>
                    <a:xfrm>
                      <a:off x="0" y="0"/>
                      <a:ext cx="5505450" cy="3481705"/>
                    </a:xfrm>
                    <a:prstGeom prst="rect">
                      <a:avLst/>
                    </a:prstGeom>
                    <a:noFill/>
                    <a:ln w="9525">
                      <a:noFill/>
                    </a:ln>
                  </pic:spPr>
                </pic:pic>
              </a:graphicData>
            </a:graphic>
          </wp:inline>
        </w:drawing>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2.5职业发展</w:t>
      </w:r>
    </w:p>
    <w:p>
      <w:pPr>
        <w:widowControl/>
        <w:shd w:val="clear" w:color="auto" w:fill="FFFFFF"/>
        <w:ind w:right="-483" w:rightChars="-230" w:firstLine="640" w:firstLineChars="200"/>
        <w:jc w:val="left"/>
        <w:rPr>
          <w:rFonts w:ascii="仿宋" w:hAnsi="仿宋" w:eastAsia="仿宋" w:cs="仿宋_GB2312"/>
          <w:sz w:val="32"/>
          <w:szCs w:val="32"/>
        </w:rPr>
      </w:pPr>
      <w:r>
        <w:rPr>
          <w:rFonts w:hint="eastAsia" w:ascii="仿宋" w:hAnsi="仿宋" w:eastAsia="仿宋" w:cs="仿宋_GB2312"/>
          <w:sz w:val="32"/>
          <w:szCs w:val="32"/>
        </w:rPr>
        <w:t>创新、创业教育是一种“就业型”教育，也是一种“发展型”教育，既体现</w:t>
      </w:r>
      <w:r>
        <w:fldChar w:fldCharType="begin"/>
      </w:r>
      <w:r>
        <w:instrText xml:space="preserve"> HYPERLINK "http://cpro.baidu.com/cpro/ui/uijs.php?adclass=0&amp;app_id=0&amp;c=news&amp;cf=1001&amp;ch=0&amp;di=128&amp;fv=19&amp;is_app=0&amp;jk=ef545a0edc5d9931&amp;k=%D6%B0%D2%B5%BD%CC%D3%FD&amp;k0=%D6%B0%D2%B5%BD%CC%D3%FD&amp;kdi0=0&amp;luki=5&amp;mcpm=0&amp;n=10&amp;p=baidu&amp;q=haoshuduoduo_cpr&amp;rb=0&amp;rs=1&amp;seller_id=1&amp;sid=31995ddce5a54ef&amp;ssp2=1&amp;stid=9&amp;t=tpclicked3_hc&amp;td=1959052&amp;tu=u1959052&amp;u=http%3A%2F%2Fwww%2Eniubb%2Enet%2Farticle%2F581296%2D1%2F1%2F&amp;urlid=0" \t "_blank" </w:instrText>
      </w:r>
      <w:r>
        <w:fldChar w:fldCharType="separate"/>
      </w:r>
      <w:r>
        <w:rPr>
          <w:rFonts w:hint="eastAsia" w:ascii="仿宋" w:hAnsi="仿宋" w:eastAsia="仿宋" w:cs="仿宋_GB2312"/>
          <w:sz w:val="32"/>
          <w:szCs w:val="32"/>
        </w:rPr>
        <w:t>职业教育</w:t>
      </w:r>
      <w:r>
        <w:rPr>
          <w:rFonts w:hint="eastAsia" w:ascii="仿宋" w:hAnsi="仿宋" w:eastAsia="仿宋" w:cs="仿宋_GB2312"/>
          <w:sz w:val="32"/>
          <w:szCs w:val="32"/>
        </w:rPr>
        <w:fldChar w:fldCharType="end"/>
      </w:r>
      <w:r>
        <w:rPr>
          <w:rFonts w:hint="eastAsia" w:ascii="仿宋" w:hAnsi="仿宋" w:eastAsia="仿宋" w:cs="仿宋_GB2312"/>
          <w:sz w:val="32"/>
          <w:szCs w:val="32"/>
        </w:rPr>
        <w:t>的内涵，又突出教育创新和对学生实际能力的培养，既是中职学生职业生涯设计、实现自身价值和满足现代职业教育发展的客观要求，也是中等职业学校教育教学改革的必然选择。一个人要想在竞争激烈的社会里立于不败之地，除了要有深厚的科学文化知识之外，还要具备</w:t>
      </w:r>
      <w:r>
        <w:fldChar w:fldCharType="begin"/>
      </w:r>
      <w:r>
        <w:instrText xml:space="preserve"> HYPERLINK "http://cpro.baidu.com/cpro/ui/uijs.php?adclass=0&amp;app_id=0&amp;c=news&amp;cf=1001&amp;ch=0&amp;di=128&amp;fv=19&amp;is_app=0&amp;jk=ef545a0edc5d9931&amp;k=%B4%B4%D2%B5%BE%AB%C9%F1&amp;k0=%B4%B4%D2%B5%BE%AB%C9%F1&amp;kdi0=0&amp;luki=7&amp;mcpm=0&amp;n=10&amp;p=baidu&amp;q=haoshuduoduo_cpr&amp;rb=0&amp;rs=1&amp;seller_id=1&amp;sid=31995ddce5a54ef&amp;ssp2=1&amp;stid=9&amp;t=tpclicked3_hc&amp;td=1959052&amp;tu=u1959052&amp;u=http%3A%2F%2Fwww%2Eniubb%2Enet%2Farticle%2F581296%2D1%2F1%2F&amp;urlid=0" \t "_blank" </w:instrText>
      </w:r>
      <w:r>
        <w:fldChar w:fldCharType="separate"/>
      </w:r>
      <w:r>
        <w:rPr>
          <w:rFonts w:hint="eastAsia" w:ascii="仿宋" w:hAnsi="仿宋" w:eastAsia="仿宋" w:cs="仿宋_GB2312"/>
          <w:sz w:val="32"/>
          <w:szCs w:val="32"/>
        </w:rPr>
        <w:t>创业精神</w:t>
      </w:r>
      <w:r>
        <w:rPr>
          <w:rFonts w:hint="eastAsia" w:ascii="仿宋" w:hAnsi="仿宋" w:eastAsia="仿宋" w:cs="仿宋_GB2312"/>
          <w:sz w:val="32"/>
          <w:szCs w:val="32"/>
        </w:rPr>
        <w:fldChar w:fldCharType="end"/>
      </w:r>
      <w:r>
        <w:rPr>
          <w:rFonts w:hint="eastAsia" w:ascii="仿宋" w:hAnsi="仿宋" w:eastAsia="仿宋" w:cs="仿宋_GB2312"/>
          <w:sz w:val="32"/>
          <w:szCs w:val="32"/>
        </w:rPr>
        <w:t>。因此，职业教育不仅仅是学生的就业培训，更应加强在创造、创新、创业能力方面的教育，培养学生</w:t>
      </w:r>
      <w:r>
        <w:fldChar w:fldCharType="begin"/>
      </w:r>
      <w:r>
        <w:instrText xml:space="preserve"> HYPERLINK "http://cpro.baidu.com/cpro/ui/uijs.php?adclass=0&amp;app_id=0&amp;c=news&amp;cf=1001&amp;ch=0&amp;di=128&amp;fv=19&amp;is_app=0&amp;jk=ef545a0edc5d9931&amp;k=%D7%D4%D6%F7%B4%B4%D2%B5&amp;k0=%D7%D4%D6%F7%B4%B4%D2%B5&amp;kdi0=0&amp;luki=8&amp;mcpm=0&amp;n=10&amp;p=baidu&amp;q=haoshuduoduo_cpr&amp;rb=0&amp;rs=1&amp;seller_id=1&amp;sid=31995ddce5a54ef&amp;ssp2=1&amp;stid=9&amp;t=tpclicked3_hc&amp;td=1959052&amp;tu=u1959052&amp;u=http%3A%2F%2Fwww%2Eniubb%2Enet%2Farticle%2F581296%2D1%2F1%2F&amp;urlid=0" \t "_blank" </w:instrText>
      </w:r>
      <w:r>
        <w:fldChar w:fldCharType="separate"/>
      </w:r>
      <w:r>
        <w:rPr>
          <w:rFonts w:hint="eastAsia" w:ascii="仿宋" w:hAnsi="仿宋" w:eastAsia="仿宋" w:cs="仿宋_GB2312"/>
          <w:sz w:val="32"/>
          <w:szCs w:val="32"/>
        </w:rPr>
        <w:t>自主创业</w:t>
      </w:r>
      <w:r>
        <w:rPr>
          <w:rFonts w:hint="eastAsia" w:ascii="仿宋" w:hAnsi="仿宋" w:eastAsia="仿宋" w:cs="仿宋_GB2312"/>
          <w:sz w:val="32"/>
          <w:szCs w:val="32"/>
        </w:rPr>
        <w:fldChar w:fldCharType="end"/>
      </w:r>
      <w:r>
        <w:rPr>
          <w:rFonts w:hint="eastAsia" w:ascii="仿宋" w:hAnsi="仿宋" w:eastAsia="仿宋" w:cs="仿宋_GB2312"/>
          <w:sz w:val="32"/>
          <w:szCs w:val="32"/>
        </w:rPr>
        <w:t>的意识，开发和提高学生的创业能力，培养创业精神，为各行各业输送更多的创业型人才。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近年来，我校以“重技能、厚基础、宽专业、多领域”为原则设置和调整课程。其做法有三条。一是深入研究课程之间的内在联系，如文化课与专业课之间的联系，理论课与实训课之间的结合等，根据专业和学生特点，对课程进行适当的增减，对教材中有关培养创造力的课程内容重点讲授并进行实训演练，以提高教学效果。二是开设创业和就业指导课程。三是邀请成功人士来校介绍创业、就业经验，使学生在就业观念上有新的转变。</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培养学生的创业意识，创业意识是创业的基础和前提。创业教育重在培养学生的创业意识，提高学生的整体素质。要转变学生的</w:t>
      </w:r>
      <w:r>
        <w:fldChar w:fldCharType="begin"/>
      </w:r>
      <w:r>
        <w:instrText xml:space="preserve"> HYPERLINK "http://cpro.baidu.com/cpro/ui/uijs.php?adclass=0&amp;app_id=0&amp;c=news&amp;cf=1001&amp;ch=0&amp;di=128&amp;fv=19&amp;is_app=0&amp;jk=ef545a0edc5d9931&amp;k=%BE%CD%D2%B5&amp;k0=%BE%CD%D2%B5&amp;kdi0=0&amp;luki=4&amp;mcpm=0&amp;n=10&amp;p=baidu&amp;q=haoshuduoduo_cpr&amp;rb=0&amp;rs=1&amp;seller_id=1&amp;sid=31995ddce5a54ef&amp;ssp2=1&amp;stid=9&amp;t=tpclicked3_hc&amp;td=1959052&amp;tu=u1959052&amp;u=http%3A%2F%2Fwww%2Eniubb%2Enet%2Farticle%2F581296%2D1%2F1%2F&amp;urlid=0" \t "_blank" </w:instrText>
      </w:r>
      <w:r>
        <w:fldChar w:fldCharType="separate"/>
      </w:r>
      <w:r>
        <w:rPr>
          <w:rFonts w:hint="eastAsia" w:ascii="仿宋" w:hAnsi="仿宋" w:eastAsia="仿宋" w:cs="仿宋_GB2312"/>
          <w:sz w:val="32"/>
          <w:szCs w:val="32"/>
        </w:rPr>
        <w:t>就业</w:t>
      </w:r>
      <w:r>
        <w:rPr>
          <w:rFonts w:hint="eastAsia" w:ascii="仿宋" w:hAnsi="仿宋" w:eastAsia="仿宋" w:cs="仿宋_GB2312"/>
          <w:sz w:val="32"/>
          <w:szCs w:val="32"/>
        </w:rPr>
        <w:fldChar w:fldCharType="end"/>
      </w:r>
      <w:r>
        <w:rPr>
          <w:rFonts w:hint="eastAsia" w:ascii="仿宋" w:hAnsi="仿宋" w:eastAsia="仿宋" w:cs="仿宋_GB2312"/>
          <w:sz w:val="32"/>
          <w:szCs w:val="32"/>
        </w:rPr>
        <w:t>观念，就要做到“三破三立”，即破除等、靠、看的被动就业观念，立敢想、敢干、敢试、敢闯的自主创业新观念；破除安于现状、得过且过、不思进取的旧观念，立有所作为、开拓进取、创业光荣的新观念；破除高学历者才能创业的旧观念，立</w:t>
      </w:r>
      <w:r>
        <w:fldChar w:fldCharType="begin"/>
      </w:r>
      <w:r>
        <w:instrText xml:space="preserve"> HYPERLINK "http://cpro.baidu.com/cpro/ui/uijs.php?adclass=0&amp;app_id=0&amp;c=news&amp;cf=1001&amp;ch=0&amp;di=128&amp;fv=19&amp;is_app=0&amp;jk=ef545a0edc5d9931&amp;k=%D6%D0%D6%B0&amp;k0=%D6%D0%D6%B0&amp;kdi0=0&amp;luki=9&amp;mcpm=0&amp;n=10&amp;p=baidu&amp;q=haoshuduoduo_cpr&amp;rb=0&amp;rs=1&amp;seller_id=1&amp;sid=31995ddce5a54ef&amp;ssp2=1&amp;stid=9&amp;t=tpclicked3_hc&amp;td=1959052&amp;tu=u1959052&amp;u=http%3A%2F%2Fwww%2Eniubb%2Enet%2Farticle%2F581296%2D1%2F1%2F&amp;urlid=0" \t "_blank" </w:instrText>
      </w:r>
      <w:r>
        <w:fldChar w:fldCharType="separate"/>
      </w:r>
      <w:r>
        <w:rPr>
          <w:rFonts w:hint="eastAsia" w:ascii="仿宋" w:hAnsi="仿宋" w:eastAsia="仿宋" w:cs="仿宋_GB2312"/>
          <w:sz w:val="32"/>
          <w:szCs w:val="32"/>
        </w:rPr>
        <w:t>中职</w:t>
      </w:r>
      <w:r>
        <w:rPr>
          <w:rFonts w:hint="eastAsia" w:ascii="仿宋" w:hAnsi="仿宋" w:eastAsia="仿宋" w:cs="仿宋_GB2312"/>
          <w:sz w:val="32"/>
          <w:szCs w:val="32"/>
        </w:rPr>
        <w:fldChar w:fldCharType="end"/>
      </w:r>
      <w:r>
        <w:rPr>
          <w:rFonts w:hint="eastAsia" w:ascii="仿宋" w:hAnsi="仿宋" w:eastAsia="仿宋" w:cs="仿宋_GB2312"/>
          <w:sz w:val="32"/>
          <w:szCs w:val="32"/>
        </w:rPr>
        <w:t>学生人人有能力创业的新观念。使中职学生牢固树立自主创业同样可以实现自身价值，创造辉煌人生的思想观念。</w:t>
      </w:r>
    </w:p>
    <w:p>
      <w:pPr>
        <w:spacing w:line="600" w:lineRule="exact"/>
        <w:rPr>
          <w:rFonts w:ascii="仿宋" w:hAnsi="仿宋" w:eastAsia="仿宋" w:cs="仿宋_GB2312"/>
          <w:b/>
          <w:sz w:val="36"/>
          <w:szCs w:val="36"/>
        </w:rPr>
      </w:pPr>
      <w:r>
        <w:rPr>
          <w:rFonts w:hint="eastAsia" w:ascii="仿宋" w:hAnsi="仿宋" w:eastAsia="仿宋" w:cs="仿宋_GB2312"/>
          <w:b/>
          <w:sz w:val="36"/>
          <w:szCs w:val="36"/>
        </w:rPr>
        <w:t>三、质量保障措施</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3.1专业动态调整</w:t>
      </w:r>
    </w:p>
    <w:p>
      <w:pPr>
        <w:pStyle w:val="6"/>
        <w:spacing w:before="0" w:beforeAutospacing="0" w:after="0" w:afterAutospacing="0"/>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我校共开设</w:t>
      </w:r>
      <w:r>
        <w:rPr>
          <w:rFonts w:hint="eastAsia" w:ascii="仿宋" w:hAnsi="仿宋" w:eastAsia="仿宋" w:cstheme="minorBidi"/>
          <w:color w:val="000000" w:themeColor="text1"/>
          <w:kern w:val="2"/>
          <w:sz w:val="32"/>
          <w:szCs w:val="32"/>
          <w14:textFill>
            <w14:solidFill>
              <w14:schemeClr w14:val="tx1"/>
            </w14:solidFill>
          </w14:textFill>
        </w:rPr>
        <w:t>电子技术应用、汽车运用与维修、会计电算化、铁路运输管理、石油天然气开采、航空服务、工程造价、计算机应用、电子商务等13个专业。在校学生专业统计如图10。</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图10：</w:t>
      </w:r>
    </w:p>
    <w:p>
      <w:pPr>
        <w:rPr>
          <w:color w:val="C00000"/>
        </w:rPr>
      </w:pPr>
      <w:r>
        <w:rPr>
          <w:color w:val="C00000"/>
        </w:rPr>
        <w:drawing>
          <wp:inline distT="0" distB="0" distL="114300" distR="114300">
            <wp:extent cx="5212080" cy="33489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12080" cy="3348990"/>
                    </a:xfrm>
                    <a:prstGeom prst="rect">
                      <a:avLst/>
                    </a:prstGeom>
                    <a:noFill/>
                    <a:ln>
                      <a:noFill/>
                    </a:ln>
                  </pic:spPr>
                </pic:pic>
              </a:graphicData>
            </a:graphic>
          </wp:inline>
        </w:drawing>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学校每两年开展一次专业调研，调研对象涵盖了企业、家长、学生。通过调研优化专业结构，建立专业设置动态调整机制，做到了专业设置与区域社会经济发展需求</w:t>
      </w:r>
      <w:r>
        <w:rPr>
          <w:rFonts w:ascii="仿宋" w:hAnsi="仿宋" w:eastAsia="仿宋"/>
          <w:color w:val="000000" w:themeColor="text1"/>
          <w:sz w:val="32"/>
          <w:szCs w:val="32"/>
          <w14:textFill>
            <w14:solidFill>
              <w14:schemeClr w14:val="tx1"/>
            </w14:solidFill>
          </w14:textFill>
        </w:rPr>
        <w:t>契合</w:t>
      </w:r>
      <w:r>
        <w:rPr>
          <w:rFonts w:hint="eastAsia" w:ascii="仿宋" w:hAnsi="仿宋" w:eastAsia="仿宋"/>
          <w:color w:val="000000" w:themeColor="text1"/>
          <w:sz w:val="32"/>
          <w:szCs w:val="32"/>
          <w14:textFill>
            <w14:solidFill>
              <w14:schemeClr w14:val="tx1"/>
            </w14:solidFill>
          </w14:textFill>
        </w:rPr>
        <w:t>，课程内容与岗位知识</w:t>
      </w:r>
      <w:r>
        <w:rPr>
          <w:rFonts w:ascii="仿宋" w:hAnsi="仿宋" w:eastAsia="仿宋"/>
          <w:color w:val="000000" w:themeColor="text1"/>
          <w:sz w:val="32"/>
          <w:szCs w:val="32"/>
          <w14:textFill>
            <w14:solidFill>
              <w14:schemeClr w14:val="tx1"/>
            </w14:solidFill>
          </w14:textFill>
        </w:rPr>
        <w:t>契合</w:t>
      </w:r>
      <w:r>
        <w:rPr>
          <w:rFonts w:hint="eastAsia" w:ascii="仿宋" w:hAnsi="仿宋" w:eastAsia="仿宋"/>
          <w:color w:val="000000" w:themeColor="text1"/>
          <w:sz w:val="32"/>
          <w:szCs w:val="32"/>
          <w14:textFill>
            <w14:solidFill>
              <w14:schemeClr w14:val="tx1"/>
            </w14:solidFill>
          </w14:textFill>
        </w:rPr>
        <w:t>，提高了专业与当地产业的吻合度及贡献率。</w:t>
      </w:r>
    </w:p>
    <w:p>
      <w:pPr>
        <w:ind w:firstLine="640" w:firstLineChars="200"/>
        <w:rPr>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按照教育</w:t>
      </w:r>
      <w:r>
        <w:rPr>
          <w:rFonts w:hint="eastAsia" w:ascii="仿宋" w:hAnsi="仿宋" w:eastAsia="仿宋" w:cs="仿宋_GB2312"/>
          <w:color w:val="000000" w:themeColor="text1"/>
          <w:sz w:val="32"/>
          <w:szCs w:val="32"/>
          <w14:textFill>
            <w14:solidFill>
              <w14:schemeClr w14:val="tx1"/>
            </w14:solidFill>
          </w14:textFill>
        </w:rPr>
        <w:t>与产业、学校与企业、专业设置与职业岗位相对接的原则进行专业动态调整，主动适应区域产业结构优化升级要求，重点建设面向本地重点产业、优势产业和战略性新兴产业的电子技术应用、汽车运用与维修、会计电算化等品牌专业。学校与成都信息工程大学、四川广播电视大学、西华师范大学、成都工业学院建立了汽车检测与维修技术、应用电子技术等与我校中专专业相关的大专衔接工作。学校制定了校本教材开发、应用和更新制度，能根据产业、职业和岗位需求，积极开发校本教材，努力将三创教育和技能大赛的成果融入校本教材，先后开发校本教材3本。</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3.2教育教学改革</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学校制定了</w:t>
      </w:r>
      <w:r>
        <w:rPr>
          <w:rFonts w:hint="eastAsia" w:ascii="仿宋" w:hAnsi="仿宋" w:eastAsia="仿宋" w:cs="仿宋_GB2312"/>
          <w:color w:val="000000" w:themeColor="text1"/>
          <w:sz w:val="32"/>
          <w:szCs w:val="32"/>
          <w14:textFill>
            <w14:solidFill>
              <w14:schemeClr w14:val="tx1"/>
            </w14:solidFill>
          </w14:textFill>
        </w:rPr>
        <w:t>实施性人才培养方案并进行滚动修订，根据国家和省指导性人才培养方案以及调研成果，构建以能力为本位、以职业实践为主线、以项目课程为主体的模块化专业课程体系；合理确定公共基础课和专业技能课学时比例，根据行业产业发展适时修订，并有严格的审批手续，选用规定教材。大力加强专业建设，不断提升专业建设水平，主干专业实现了教学、实训一体化，学生职业道德、职业精神培养与技术技能高度融合。</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根据专业特点，积极开展现代学徒制试点，进行小班化教学试点；探索和实施小组学习、合作学习和自主学习；因材施教，推行分层教学、走班制、导师制等教学改革，建立了困难学生学习困难帮助机制等。</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为汽修、会计、电子商务等专业购买了虚拟仿真实务训练系统，并建立了新能源汽车及工业机器人实训基地，有效地降低了实训成本，提高了实训效果。教师根据教学要求自主开发了一部分教学资源，分为公共基础课和专业技能课，内容包括PPT教案、实训项目库、教学案例、考试试题题库。</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学质量保证制度》、《教学督导组加强教学质量监控与评价制定》、《教师教学质量考核与聘任办法》《学生评教制度》等一系列质量保证措施与制度的完善，为教学质量提供了有力的保障，通过建立校企合作长效机制，引进高素质高技能</w:t>
      </w:r>
      <w:r>
        <w:rPr>
          <w:rFonts w:ascii="仿宋" w:hAnsi="仿宋" w:eastAsia="仿宋"/>
          <w:color w:val="000000" w:themeColor="text1"/>
          <w:sz w:val="32"/>
          <w:szCs w:val="32"/>
          <w14:textFill>
            <w14:solidFill>
              <w14:schemeClr w14:val="tx1"/>
            </w14:solidFill>
          </w14:textFill>
        </w:rPr>
        <w:t>人才</w:t>
      </w:r>
      <w:r>
        <w:rPr>
          <w:rFonts w:hint="eastAsia" w:ascii="仿宋" w:hAnsi="仿宋" w:eastAsia="仿宋"/>
          <w:color w:val="000000" w:themeColor="text1"/>
          <w:sz w:val="32"/>
          <w:szCs w:val="32"/>
          <w14:textFill>
            <w14:solidFill>
              <w14:schemeClr w14:val="tx1"/>
            </w14:solidFill>
          </w14:textFill>
        </w:rPr>
        <w:t>，定期开展教师专业技术培训，实施订单式培养模式，加强教学改革，优化专业课程体系，改善实训设备，建立教学过程监控体系。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校为达到较好的技能教学效果，制定了教师出勤、教学评价、教学巡查、各学期实训项目教学计划，实训项目教学设计、实训实验教学检测等一系列监控体系，从教师的教态、教案、作业批改、学生对教师教学评议，实训教学安全，实训教学产品等全方位建设，狠抓落实。</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2019年5月我校组织第十五届校园技能大赛，11个大项16个小项总计参赛人数728名选手参赛，共计274名选手获奖，一等奖63名，二等奖101名，三等奖110名，团体奖10名，个人获奖率约37.6%。</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2019年12月我校参加南充市第八届学生技能大赛参赛的7个大项，项目获奖率71.4％。并获得团体一等奖、三等奖。（见表7）</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表7：</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2019年南充市第八届学生技能大赛我校获奖情况</w:t>
      </w:r>
    </w:p>
    <w:tbl>
      <w:tblPr>
        <w:tblStyle w:val="7"/>
        <w:tblW w:w="86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300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32"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参赛项目</w:t>
            </w:r>
          </w:p>
        </w:tc>
        <w:tc>
          <w:tcPr>
            <w:tcW w:w="3004"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获奖学生</w:t>
            </w:r>
          </w:p>
        </w:tc>
        <w:tc>
          <w:tcPr>
            <w:tcW w:w="1953"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732" w:type="dxa"/>
            <w:vMerge w:val="restart"/>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单片机控制装置安装与调试</w:t>
            </w: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徐洪平</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732" w:type="dxa"/>
            <w:vMerge w:val="continue"/>
          </w:tcPr>
          <w:p>
            <w:pPr>
              <w:jc w:val="center"/>
              <w:rPr>
                <w:rFonts w:ascii="仿宋" w:hAnsi="仿宋" w:eastAsia="仿宋"/>
                <w:b/>
                <w:color w:val="000000" w:themeColor="text1"/>
                <w:sz w:val="28"/>
                <w:szCs w:val="28"/>
                <w14:textFill>
                  <w14:solidFill>
                    <w14:schemeClr w14:val="tx1"/>
                  </w14:solidFill>
                </w14:textFill>
              </w:rPr>
            </w:pP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陈小平</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3732"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电子产品装调与应用</w:t>
            </w: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吴佳霖</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32" w:type="dxa"/>
            <w:vMerge w:val="restart"/>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网页制作</w:t>
            </w:r>
          </w:p>
        </w:tc>
        <w:tc>
          <w:tcPr>
            <w:tcW w:w="3004" w:type="dxa"/>
          </w:tcPr>
          <w:p>
            <w:pPr>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张文星</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32" w:type="dxa"/>
            <w:vMerge w:val="continue"/>
          </w:tcPr>
          <w:p>
            <w:pPr>
              <w:jc w:val="center"/>
              <w:rPr>
                <w:rFonts w:ascii="仿宋" w:hAnsi="仿宋" w:eastAsia="仿宋"/>
                <w:b/>
                <w:color w:val="000000" w:themeColor="text1"/>
                <w:sz w:val="28"/>
                <w:szCs w:val="28"/>
                <w14:textFill>
                  <w14:solidFill>
                    <w14:schemeClr w14:val="tx1"/>
                  </w14:solidFill>
                </w14:textFill>
              </w:rPr>
            </w:pP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郑慧</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32" w:type="dxa"/>
            <w:vMerge w:val="continue"/>
          </w:tcPr>
          <w:p>
            <w:pPr>
              <w:jc w:val="center"/>
              <w:rPr>
                <w:rFonts w:ascii="仿宋" w:hAnsi="仿宋" w:eastAsia="仿宋"/>
                <w:b/>
                <w:color w:val="000000" w:themeColor="text1"/>
                <w:sz w:val="28"/>
                <w:szCs w:val="28"/>
                <w14:textFill>
                  <w14:solidFill>
                    <w14:schemeClr w14:val="tx1"/>
                  </w14:solidFill>
                </w14:textFill>
              </w:rPr>
            </w:pP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袁思洁</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32"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办公自动化</w:t>
            </w: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邓云心、邓杰</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732"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平面设计</w:t>
            </w: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杨松柏</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32" w:type="dxa"/>
            <w:vMerge w:val="restart"/>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团体奖</w:t>
            </w:r>
          </w:p>
          <w:p>
            <w:pPr>
              <w:jc w:val="center"/>
              <w:rPr>
                <w:rFonts w:ascii="仿宋" w:hAnsi="仿宋" w:eastAsia="仿宋"/>
                <w:color w:val="000000" w:themeColor="text1"/>
                <w:sz w:val="28"/>
                <w:szCs w:val="28"/>
                <w14:textFill>
                  <w14:solidFill>
                    <w14:schemeClr w14:val="tx1"/>
                  </w14:solidFill>
                </w14:textFill>
              </w:rPr>
            </w:pPr>
          </w:p>
        </w:tc>
        <w:tc>
          <w:tcPr>
            <w:tcW w:w="3004"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计算机应用</w:t>
            </w:r>
          </w:p>
        </w:tc>
        <w:tc>
          <w:tcPr>
            <w:tcW w:w="1953"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732" w:type="dxa"/>
            <w:vMerge w:val="continue"/>
          </w:tcPr>
          <w:p>
            <w:pPr>
              <w:jc w:val="center"/>
              <w:rPr>
                <w:color w:val="000000" w:themeColor="text1"/>
                <w14:textFill>
                  <w14:solidFill>
                    <w14:schemeClr w14:val="tx1"/>
                  </w14:solidFill>
                </w14:textFill>
              </w:rPr>
            </w:pPr>
          </w:p>
        </w:tc>
        <w:tc>
          <w:tcPr>
            <w:tcW w:w="3004"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电子技术应用</w:t>
            </w:r>
          </w:p>
        </w:tc>
        <w:tc>
          <w:tcPr>
            <w:tcW w:w="1953" w:type="dxa"/>
          </w:tcPr>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三等奖</w:t>
            </w:r>
          </w:p>
        </w:tc>
      </w:tr>
    </w:tbl>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3.3教师培养培训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教师队伍是提高学校办学水平和提升人才培养质量的关键</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加强教师队伍建设是中等职业教育发展最重要的基础工程。2019年，我校采用“内引外培”的模式培养教师，通过请进来、走出去、全方位、多渠道地引进教师，2019年送培30人次，其中6位教师参加了华东师范大学、北京理工大学等师资培训，24人参加了网上研修，4位省级名师工作室成员（庞子靓、吴从均、杨俊梅、杨大平）参加了名师工作室培训，有效推动了“双师型”教师队伍建设，对我校教育教学质量的提高起到了至关重要的作用。</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3.4规范管理情况</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教学管理学校制定长期、短期</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"https://baike.baidu.com/item/%E6%95%99%E5%AD%A6%E5%B7%A5%E4%BD%9C%E8%AE%A1%E5%88%92" \t "https://baike.baidu.com/item/%E6%95%99%E5%AD%A6%E7%AE%A1%E7%90%86/_blank" </w:instrText>
      </w:r>
      <w:r>
        <w:rPr>
          <w:color w:val="000000" w:themeColor="text1"/>
          <w14:textFill>
            <w14:solidFill>
              <w14:schemeClr w14:val="tx1"/>
            </w14:solidFill>
          </w14:textFill>
        </w:rPr>
        <w:fldChar w:fldCharType="separate"/>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t>教学工作计划</w:t>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fldChar w:fldCharType="end"/>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明确教学工作目标，保证学校教学工作有计划、有步骤、有条不紊地运转。设立有教学管理机构和教学管理质量评价系统，明确职责范围，发挥管理机构及人员的作用，加强教师的教学质量和学生的学习质量管理。组织开展教学研究活动，促进教学工作改革。深入教学第一线，加强检查指导，及时总结经验，提高教学质量，加强教务行政管理工作。</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校务管理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办学思想端正，全面贯彻国家的教育方针，认真实施素质教育。树立正确的教育观和质量观，面向全体学生，促进学生全面发展。坚持依法治校，遵守教育法律法规，不乱办学，不乱收费，不举办“校中校”。建立健全学校各项规章制度，实行校长负责制，完善全员聘任制、岗位责任制。坚持民主管理学校，推行校务公开。</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教师管理</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组织教师进修，开展校本培训和教研活动，建立集体备课制度。</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加强师德师风建设，教育教师遵章守纪，爱岗敬业，教书育人，为人师表；认真备课、上课、布置批改作业、辅导学生和组织课外活动；尊重学生人格，不歧视、侮辱、体罚和变相体罚学生，维护学生的合法权益；不搞有偿家教。</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学生管理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德育为首。开展民族精神教育、理想信念教育、公民道德教育、法律纪律教育、心理健康教育。规范学生行为。教育学生自觉遵守《中等职业学校学生守则》和《中等职业学校日常行为规范》，培养学生良好的行为习惯。坚持全员育人，学校有健全的党团和共青团组织，有班主任管理制度，有与家庭、社会联系与合作的制度。</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教学科研管理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严格按规定开齐开足课程，创造条件开设地方课程和校本课程。有秩序安排教育教学工作，不随意停课，不组织学生参加商业性的庆典、演出活动。上好体育课、艺术课，保证学生每天有1小时的体育活动时间。引导学生自主、合作、探究学习，注重培养学生的独立思考能力、创新能力和实践能力，发展学生的个性特长。建立科学的学校评价制度，评价学生，立足于促进学生的全面发展。健全校本教研制度，研究教育教学中的重点、难点问题，促进教育质量的提高。</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安全管理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建立健全安全管理制度，对学校安全保卫人员定期培训学习，及时整治学校各项安全隐患，预防发生事故发生。建立校园突发事件预警机制，落实各项应急措施。加强安全教育，增强师生的安全防范意识和自护自救能力。定期对校舍、设施进行安全检查，防火、防盗、防触电、防滋扰、防中毒、防意外伤害等措施落实到位。加强门卫管理，禁止无关人员和校外机动车辆进入校园。组织学生户外活动有安全应急措施，并安排专人负责。</w:t>
      </w:r>
    </w:p>
    <w:p>
      <w:pPr>
        <w:ind w:firstLine="640" w:firstLineChars="200"/>
        <w:rPr>
          <w:rFonts w:ascii="仿宋" w:hAnsi="仿宋" w:eastAsia="仿宋" w:cs="仿宋_GB2312"/>
          <w:bCs/>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校园管理</w:t>
      </w:r>
      <w:r>
        <w:rPr>
          <w:rFonts w:hint="eastAsia" w:ascii="仿宋" w:hAnsi="仿宋" w:eastAsia="仿宋" w:cs="仿宋_GB2312"/>
          <w:bCs/>
          <w:color w:val="000000" w:themeColor="text1"/>
          <w:kern w:val="0"/>
          <w:sz w:val="32"/>
          <w:szCs w:val="32"/>
          <w:shd w:val="clear" w:color="auto" w:fill="FFFFFF"/>
          <w14:textFill>
            <w14:solidFill>
              <w14:schemeClr w14:val="tx1"/>
            </w14:solidFill>
          </w14:textFill>
        </w:rPr>
        <w:t>建设平安、文明、和谐校园。优化校园环境，力求净化、绿化、美化、人文化。校内车辆停放整齐，地面无杂物，墙面无污损。环境布置富有文化内涵，体现教育功能。</w:t>
      </w:r>
    </w:p>
    <w:p>
      <w:pPr>
        <w:ind w:firstLine="640" w:firstLineChars="200"/>
        <w:rPr>
          <w:rFonts w:ascii="仿宋" w:hAnsi="仿宋" w:eastAsia="仿宋" w:cs="仿宋_GB2312"/>
          <w:color w:val="000000" w:themeColor="text1"/>
          <w:kern w:val="0"/>
          <w:sz w:val="32"/>
          <w:szCs w:val="32"/>
          <w:shd w:val="clear" w:color="auto" w:fill="FFFFFF"/>
          <w14:textFill>
            <w14:solidFill>
              <w14:schemeClr w14:val="tx1"/>
            </w14:solidFill>
          </w14:textFill>
        </w:rPr>
      </w:pPr>
      <w:r>
        <w:rPr>
          <w:rFonts w:ascii="仿宋" w:hAnsi="仿宋" w:eastAsia="仿宋" w:cs="仿宋_GB2312"/>
          <w:bCs/>
          <w:color w:val="000000" w:themeColor="text1"/>
          <w:sz w:val="32"/>
          <w:szCs w:val="32"/>
          <w:shd w:val="clear" w:color="auto" w:fill="FFFFFF"/>
          <w14:textFill>
            <w14:solidFill>
              <w14:schemeClr w14:val="tx1"/>
            </w14:solidFill>
          </w14:textFill>
        </w:rPr>
        <w:t>后勤管理</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坚持服务育人、管理育人。制订食堂卫生制度和采购验收制度，确保食品卫生安全；建立学生宿舍值日制度，保证整洁卫生；建立宿舍管理制度，坚持夜间值班、巡查；建立发生群体性传染病、食物中毒应急制度，及时采取隔离、治疗措施。建立校舍定期检查、维修制度，及时消除危房。图书、实验仪器、音体美器材、计算机设备等分类登记造册，定期清查、检修、维护。坚持勤俭办学，反对铺张浪费。</w:t>
      </w:r>
    </w:p>
    <w:p>
      <w:pPr>
        <w:ind w:firstLine="640" w:firstLineChars="200"/>
        <w:jc w:val="lef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 xml:space="preserve"> 档</w:t>
      </w:r>
      <w:r>
        <w:rPr>
          <w:rFonts w:ascii="仿宋" w:hAnsi="仿宋" w:eastAsia="仿宋" w:cs="仿宋_GB2312"/>
          <w:bCs/>
          <w:color w:val="000000" w:themeColor="text1"/>
          <w:sz w:val="32"/>
          <w:szCs w:val="32"/>
          <w:shd w:val="clear" w:color="auto" w:fill="FFFFFF"/>
          <w14:textFill>
            <w14:solidFill>
              <w14:schemeClr w14:val="tx1"/>
            </w14:solidFill>
          </w14:textFill>
        </w:rPr>
        <w:t>案管理建有档案资料室，健全档案管理制度。建立学校行政、教育教学、教师业务、学生学籍、师生健康、人事、财务、固定资产、荣誉实物等各类档案，保管好、使用好档案资料</w:t>
      </w:r>
      <w:bookmarkStart w:id="0" w:name="9"/>
      <w:bookmarkEnd w:id="0"/>
      <w:bookmarkStart w:id="1" w:name="sub4037599_9"/>
      <w:bookmarkEnd w:id="1"/>
      <w:bookmarkStart w:id="2" w:name="附件：中小学校园管理等十项基本管理制度"/>
      <w:bookmarkEnd w:id="2"/>
      <w:r>
        <w:rPr>
          <w:rFonts w:ascii="仿宋" w:hAnsi="仿宋" w:eastAsia="仿宋" w:cs="仿宋_GB2312"/>
          <w:bCs/>
          <w:color w:val="000000" w:themeColor="text1"/>
          <w:sz w:val="32"/>
          <w:szCs w:val="32"/>
          <w:shd w:val="clear" w:color="auto" w:fill="FFFFFF"/>
          <w14:textFill>
            <w14:solidFill>
              <w14:schemeClr w14:val="tx1"/>
            </w14:solidFill>
          </w14:textFill>
        </w:rPr>
        <w:t>，财务管理贯彻执行中国共产党和国家的财政经济方针、</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"https://baike.baidu.com/item/%E6%94%BF%E7%AD%96/5575422"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shd w:val="clear" w:color="auto" w:fill="FFFFFF"/>
          <w14:textFill>
            <w14:solidFill>
              <w14:schemeClr w14:val="tx1"/>
            </w14:solidFill>
          </w14:textFill>
        </w:rPr>
        <w:t>政策</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、法令，维护财政经济纪律，保护</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"https://baike.baidu.com/item/%E5%85%AC%E5%85%B1%E8%B4%A2%E4%BA%A7"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shd w:val="clear" w:color="auto" w:fill="FFFFFF"/>
          <w14:textFill>
            <w14:solidFill>
              <w14:schemeClr w14:val="tx1"/>
            </w14:solidFill>
          </w14:textFill>
        </w:rPr>
        <w:t>公共财产</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的安全。根据上级规定和学校具体情况，编制学校年度预算或计划，年终作出</w:t>
      </w:r>
      <w:r>
        <w:rPr>
          <w:rFonts w:hint="eastAsia" w:ascii="仿宋" w:hAnsi="仿宋" w:eastAsia="仿宋" w:cs="仿宋_GB2312"/>
          <w:bCs/>
          <w:color w:val="000000" w:themeColor="text1"/>
          <w:sz w:val="32"/>
          <w:szCs w:val="32"/>
          <w:shd w:val="clear" w:color="auto" w:fill="FFFFFF"/>
          <w14:textFill>
            <w14:solidFill>
              <w14:schemeClr w14:val="tx1"/>
            </w14:solidFill>
          </w14:textFill>
        </w:rPr>
        <w:t>结</w:t>
      </w:r>
      <w:r>
        <w:rPr>
          <w:rFonts w:ascii="仿宋" w:hAnsi="仿宋" w:eastAsia="仿宋" w:cs="仿宋_GB2312"/>
          <w:bCs/>
          <w:color w:val="000000" w:themeColor="text1"/>
          <w:sz w:val="32"/>
          <w:szCs w:val="32"/>
          <w:shd w:val="clear" w:color="auto" w:fill="FFFFFF"/>
          <w14:textFill>
            <w14:solidFill>
              <w14:schemeClr w14:val="tx1"/>
            </w14:solidFill>
          </w14:textFill>
        </w:rPr>
        <w:t>算。拟定学校的财务规章制度</w:t>
      </w:r>
      <w:r>
        <w:rPr>
          <w:rFonts w:hint="eastAsia" w:ascii="仿宋" w:hAnsi="仿宋" w:eastAsia="仿宋" w:cs="仿宋_GB2312"/>
          <w:bCs/>
          <w:color w:val="000000" w:themeColor="text1"/>
          <w:sz w:val="32"/>
          <w:szCs w:val="32"/>
          <w:shd w:val="clear" w:color="auto" w:fill="FFFFFF"/>
          <w14:textFill>
            <w14:solidFill>
              <w14:schemeClr w14:val="tx1"/>
            </w14:solidFill>
          </w14:textFill>
        </w:rPr>
        <w:t>，</w:t>
      </w:r>
      <w:r>
        <w:rPr>
          <w:rFonts w:ascii="仿宋" w:hAnsi="仿宋" w:eastAsia="仿宋" w:cs="仿宋_GB2312"/>
          <w:bCs/>
          <w:color w:val="000000" w:themeColor="text1"/>
          <w:sz w:val="32"/>
          <w:szCs w:val="32"/>
          <w:shd w:val="clear" w:color="auto" w:fill="FFFFFF"/>
          <w14:textFill>
            <w14:solidFill>
              <w14:schemeClr w14:val="tx1"/>
            </w14:solidFill>
          </w14:textFill>
        </w:rPr>
        <w:t>监督、检查学校各项资金、财产的管理和计划执行情况。</w:t>
      </w:r>
      <w:r>
        <w:rPr>
          <w:rFonts w:hint="eastAsia" w:ascii="仿宋" w:hAnsi="仿宋" w:eastAsia="仿宋" w:cs="仿宋_GB2312"/>
          <w:color w:val="000000" w:themeColor="text1"/>
          <w:kern w:val="0"/>
          <w:sz w:val="32"/>
          <w:szCs w:val="32"/>
          <w:shd w:val="clear" w:color="auto" w:fill="FFFFFF"/>
          <w14:textFill>
            <w14:solidFill>
              <w14:schemeClr w14:val="tx1"/>
            </w14:solidFill>
          </w14:textFill>
        </w:rPr>
        <w:t>建立健全学校财产管理制度，民主理财，财务公开。</w:t>
      </w:r>
      <w:r>
        <w:rPr>
          <w:rFonts w:ascii="仿宋" w:hAnsi="仿宋" w:eastAsia="仿宋" w:cs="仿宋_GB2312"/>
          <w:bCs/>
          <w:color w:val="000000" w:themeColor="text1"/>
          <w:sz w:val="32"/>
          <w:szCs w:val="32"/>
          <w:shd w:val="clear" w:color="auto" w:fill="FFFFFF"/>
          <w14:textFill>
            <w14:solidFill>
              <w14:schemeClr w14:val="tx1"/>
            </w14:solidFill>
          </w14:textFill>
        </w:rPr>
        <w:t>做好记帐、算帐、</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"https://baike.baidu.com/item/%E6%8A%A5%E5%B8%90" \t "https://baike.baidu.com/item/%E5%AD%A6%E6%A0%A1%E8%B4%A2%E5%8A%A1%E7%AE%A1%E7%90%86/_blank" </w:instrText>
      </w:r>
      <w:r>
        <w:rPr>
          <w:color w:val="000000" w:themeColor="text1"/>
          <w14:textFill>
            <w14:solidFill>
              <w14:schemeClr w14:val="tx1"/>
            </w14:solidFill>
          </w14:textFill>
        </w:rPr>
        <w:fldChar w:fldCharType="separate"/>
      </w:r>
      <w:r>
        <w:rPr>
          <w:rStyle w:val="10"/>
          <w:rFonts w:ascii="仿宋" w:hAnsi="仿宋" w:eastAsia="仿宋" w:cs="仿宋_GB2312"/>
          <w:bCs/>
          <w:color w:val="000000" w:themeColor="text1"/>
          <w:sz w:val="32"/>
          <w:szCs w:val="32"/>
          <w:shd w:val="clear" w:color="auto" w:fill="FFFFFF"/>
          <w14:textFill>
            <w14:solidFill>
              <w14:schemeClr w14:val="tx1"/>
            </w14:solidFill>
          </w14:textFill>
        </w:rPr>
        <w:t>报帐</w:t>
      </w:r>
      <w:r>
        <w:rPr>
          <w:rStyle w:val="10"/>
          <w:rFonts w:ascii="仿宋" w:hAnsi="仿宋" w:eastAsia="仿宋" w:cs="仿宋_GB2312"/>
          <w:bCs/>
          <w:color w:val="000000" w:themeColor="text1"/>
          <w:sz w:val="32"/>
          <w:szCs w:val="32"/>
          <w:shd w:val="clear" w:color="auto" w:fill="FFFFFF"/>
          <w14:textFill>
            <w14:solidFill>
              <w14:schemeClr w14:val="tx1"/>
            </w14:solidFill>
          </w14:textFill>
        </w:rPr>
        <w:fldChar w:fldCharType="end"/>
      </w:r>
      <w:r>
        <w:rPr>
          <w:rFonts w:ascii="仿宋" w:hAnsi="仿宋" w:eastAsia="仿宋" w:cs="仿宋_GB2312"/>
          <w:bCs/>
          <w:color w:val="000000" w:themeColor="text1"/>
          <w:sz w:val="32"/>
          <w:szCs w:val="32"/>
          <w:shd w:val="clear" w:color="auto" w:fill="FFFFFF"/>
          <w14:textFill>
            <w14:solidFill>
              <w14:schemeClr w14:val="tx1"/>
            </w14:solidFill>
          </w14:textFill>
        </w:rPr>
        <w:t>工作，调查研究、分析、检查学校资金使用效果。</w:t>
      </w:r>
    </w:p>
    <w:p>
      <w:pPr>
        <w:ind w:firstLine="643" w:firstLineChars="200"/>
        <w:jc w:val="left"/>
        <w:rPr>
          <w:rFonts w:ascii="仿宋" w:hAnsi="仿宋" w:eastAsia="仿宋" w:cs="仿宋_GB2312"/>
          <w:b/>
          <w:color w:val="000000" w:themeColor="text1"/>
          <w:kern w:val="0"/>
          <w:sz w:val="32"/>
          <w:szCs w:val="32"/>
          <w:shd w:val="clear" w:color="auto" w:fill="FFFFFF"/>
          <w14:textFill>
            <w14:solidFill>
              <w14:schemeClr w14:val="tx1"/>
            </w14:solidFill>
          </w14:textFill>
        </w:rPr>
      </w:pPr>
      <w:r>
        <w:rPr>
          <w:rFonts w:hint="eastAsia" w:ascii="仿宋" w:hAnsi="仿宋" w:eastAsia="仿宋" w:cs="仿宋_GB2312"/>
          <w:b/>
          <w:color w:val="000000" w:themeColor="text1"/>
          <w:kern w:val="0"/>
          <w:sz w:val="32"/>
          <w:szCs w:val="32"/>
          <w:shd w:val="clear" w:color="auto" w:fill="FFFFFF"/>
          <w14:textFill>
            <w14:solidFill>
              <w14:schemeClr w14:val="tx1"/>
            </w14:solidFill>
          </w14:textFill>
        </w:rPr>
        <w:t>3.5德育工作情况</w:t>
      </w:r>
    </w:p>
    <w:p>
      <w:pPr>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德育是学校实施素质教育的重要组成部分。它贯穿于学校教育</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"http://www.gkstk.com/article/jiaoxuefansi.htm" \o "教学" </w:instrText>
      </w:r>
      <w:r>
        <w:rPr>
          <w:color w:val="000000" w:themeColor="text1"/>
          <w14:textFill>
            <w14:solidFill>
              <w14:schemeClr w14:val="tx1"/>
            </w14:solidFill>
          </w14:textFill>
        </w:rPr>
        <w:fldChar w:fldCharType="separate"/>
      </w:r>
      <w:r>
        <w:rPr>
          <w:rStyle w:val="10"/>
          <w:rFonts w:hint="eastAsia" w:ascii="仿宋" w:hAnsi="仿宋" w:eastAsia="仿宋" w:cs="仿宋_GB2312"/>
          <w:color w:val="000000" w:themeColor="text1"/>
          <w:sz w:val="32"/>
          <w:szCs w:val="32"/>
          <w14:textFill>
            <w14:solidFill>
              <w14:schemeClr w14:val="tx1"/>
            </w14:solidFill>
          </w14:textFill>
        </w:rPr>
        <w:t>教学</w:t>
      </w:r>
      <w:r>
        <w:rPr>
          <w:rStyle w:val="10"/>
          <w:rFonts w:hint="eastAsia" w:ascii="仿宋" w:hAnsi="仿宋" w:eastAsia="仿宋" w:cs="仿宋_GB2312"/>
          <w:color w:val="000000" w:themeColor="text1"/>
          <w:sz w:val="32"/>
          <w:szCs w:val="32"/>
          <w14:textFill>
            <w14:solidFill>
              <w14:schemeClr w14:val="tx1"/>
            </w14:solidFill>
          </w14:textFill>
        </w:rPr>
        <w:fldChar w:fldCharType="end"/>
      </w:r>
      <w:r>
        <w:rPr>
          <w:rFonts w:hint="eastAsia" w:ascii="仿宋" w:hAnsi="仿宋" w:eastAsia="仿宋" w:cs="仿宋_GB2312"/>
          <w:color w:val="000000" w:themeColor="text1"/>
          <w:sz w:val="32"/>
          <w:szCs w:val="32"/>
          <w14:textFill>
            <w14:solidFill>
              <w14:schemeClr w14:val="tx1"/>
            </w14:solidFill>
          </w14:textFill>
        </w:rPr>
        <w:t>的全过程和学生日常生活的各个方面，渗透在智育、体育、美育和劳动教育中。</w:t>
      </w:r>
    </w:p>
    <w:p>
      <w:pPr>
        <w:pStyle w:val="6"/>
        <w:spacing w:before="0" w:beforeAutospacing="0" w:after="210" w:afterAutospacing="0" w:line="315" w:lineRule="atLeas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加强理论学习和德育实践研究，组织师德理论学习。本年度，我们利用教师政治学习的机会，组织教师学习了《教师法》、《未成年人保护法》和市、区教育主管部门有关师德教育和建设的文件资料等，以教育行评为契机，有效地加强了师德建设。开展德育科研活动。我们以新课程理念努力转变班主任的角色，并通过小课题研究、理论学习、案例撰写等形式开展德育科研活动。每位教师都结合自己的教育教学实践，撰写学习心得体会，提高教师的德育理论水平。</w:t>
      </w:r>
    </w:p>
    <w:p>
      <w:pPr>
        <w:widowControl/>
        <w:spacing w:line="300" w:lineRule="atLeas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开展多种形式的主题教育活动，爱国主义教育，抓好每周一的升旗仪式和国旗下讲话，激发学生爱国热情，树立正确的国家意识，培养爱国主义意识。</w:t>
      </w:r>
      <w:r>
        <w:rPr>
          <w:rFonts w:hint="eastAsia" w:ascii="仿宋" w:hAnsi="仿宋" w:eastAsia="仿宋" w:cs="宋体"/>
          <w:color w:val="000000" w:themeColor="text1"/>
          <w:kern w:val="0"/>
          <w:sz w:val="28"/>
          <w:szCs w:val="28"/>
          <w14:textFill>
            <w14:solidFill>
              <w14:schemeClr w14:val="tx1"/>
            </w14:solidFill>
          </w14:textFill>
        </w:rPr>
        <w:t>学校把德育课课程建设与</w:t>
      </w:r>
      <w:r>
        <w:rPr>
          <w:rFonts w:hint="eastAsia" w:ascii="仿宋" w:hAnsi="仿宋" w:eastAsia="仿宋" w:cs="宋体"/>
          <w:color w:val="000000" w:themeColor="text1"/>
          <w:kern w:val="0"/>
          <w:sz w:val="32"/>
          <w:szCs w:val="32"/>
          <w14:textFill>
            <w14:solidFill>
              <w14:schemeClr w14:val="tx1"/>
            </w14:solidFill>
          </w14:textFill>
        </w:rPr>
        <w:t>学生常规管理紧密结合，以德育实践活动为载体，强化制度管理，一直以来，我校德育工作遵循“以人为本、立足发展、贴近实际、注重实效”的教育理念，强化制度管理，努力把德育工作做“实”、做“活”、做“亮”，使我校德育工作焕发出生命的活力。　　</w:t>
      </w:r>
      <w:r>
        <w:rPr>
          <w:rFonts w:hint="eastAsia" w:ascii="宋体" w:hAnsi="宋体" w:eastAsia="仿宋" w:cs="宋体"/>
          <w:color w:val="000000" w:themeColor="text1"/>
          <w:kern w:val="0"/>
          <w:sz w:val="32"/>
          <w:szCs w:val="32"/>
          <w14:textFill>
            <w14:solidFill>
              <w14:schemeClr w14:val="tx1"/>
            </w14:solidFill>
          </w14:textFill>
        </w:rPr>
        <w:t>   </w:t>
      </w:r>
    </w:p>
    <w:p>
      <w:pPr>
        <w:widowControl/>
        <w:spacing w:line="300" w:lineRule="atLeas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工作中，我校以“依靠人、为了人、服务人”为基本出发点，尊重学生、关爱学生、服务学生，发现和培养学生的兴趣和特长，塑造学生大爱、和谐的心灵。以尊重学生的个性特点为指导思想，遵循青少年个性发展的特点，着眼于学生养成良好的思想品德和行为习惯。用个性鲜明的“向不文明行为说再见”“绿化教室”“周一主题班会”“主题黑板报”等活动组成了“一班一思路”特色文化，激发和引导着学生们自我发展。</w:t>
      </w:r>
    </w:p>
    <w:p>
      <w:pPr>
        <w:widowControl/>
        <w:spacing w:line="300" w:lineRule="atLeast"/>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学校积极开展各种社团活动，文体活动，开展校园歌手大赛，国庆晚会，彝族年一家亲活动，12.9红歌比赛，校运动会等活动引领学生思想情操。校外开展物品捐赠、义务劳动、帮助老人、扶贫献爱心、参加防疾病防艾滋公益汇演、为贫困留守儿童做义工等，通过这些活动的开展，使学生们思想政治素质总体上向积极健康的方向发展，有较高的政治参与意识，把各种党团活动搞得有声有色。</w:t>
      </w:r>
      <w:r>
        <w:rPr>
          <w:rFonts w:hint="eastAsia" w:ascii="宋体" w:hAnsi="宋体" w:eastAsia="仿宋" w:cs="宋体"/>
          <w:color w:val="000000" w:themeColor="text1"/>
          <w:kern w:val="0"/>
          <w:sz w:val="32"/>
          <w:szCs w:val="32"/>
          <w14:textFill>
            <w14:solidFill>
              <w14:schemeClr w14:val="tx1"/>
            </w14:solidFill>
          </w14:textFill>
        </w:rPr>
        <w:t> </w:t>
      </w:r>
    </w:p>
    <w:p>
      <w:pPr>
        <w:pStyle w:val="6"/>
        <w:spacing w:before="0" w:beforeAutospacing="0" w:after="252" w:afterAutospacing="0" w:line="315" w:lineRule="atLeas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学校认真开展了关爱“留守学生”教育工作。切实加强家校联系为真正提高家校联系质量，本学期制定了家长学校各种制度并开展活动，还对班主任或其他任课老师提出一定的要求，使学校、家庭、社会联系更为紧密，构建立体的教育网络。</w:t>
      </w:r>
    </w:p>
    <w:p>
      <w:pPr>
        <w:pStyle w:val="6"/>
        <w:spacing w:before="0" w:beforeAutospacing="0" w:after="252" w:afterAutospacing="0" w:line="315" w:lineRule="atLeast"/>
        <w:ind w:firstLine="643" w:firstLineChars="2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3.6党建情况</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2019年，学校党建工作以新时代党的建设要求为主线，以党的政治建设为统领，以“十九大精神”学习教育为重点，全面发挥校党委“推动发展，服务师生、凝聚人心，促进和谐”作用，为学校又好又快发展提供坚强有力的思想和组织保障。</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夯实党的基础组织建设，增强基层党支部战斗堡垒作用。完成了2个党小组重组、换届工作。发展了4名预备党员，确定了3名发展对象，完成了2名党员的组织关系转出工作。开展“标准化规范化党支部”工作，全面提升党支部的规范化建设水平，基层党组织的凝聚力和战斗力进一步加强。根据《党费收缴工作细则（试行）》要求，精细核定党费标准，严格执行党费缴纳制度，进一步强化党员身份意识、责任意识。</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坚持和完善“三会一课”制度，通过精心设计，做到“三会一课”时间、人员、内容、效果四到位。打造“程序规范、主题明显、载体灵活、效果明显”的主题党日活动，有效统一党员的思想和行动。始终把中心组学习作为一项重要的政治任务紧抓在手，坚持系统学习，做到全面理解，切实统一思想和行动，努力推动理论学习成果向实际工作有效转化。以“思想认识到位、会前准备到位、开展批评到位、整改落实到位”为标准，严格落实民主生活会制度。</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加强十九大精神、全国教育大会精神的学习宣传，推进“两学一做”“大学习、大讨论、大调研”的常态化、制度化。举办“党的基础知识竞赛”、“互联网+党课”“党的知识竞赛”等活动，全校党员干部的思想和行动高度统一，十九大精神、全国教育大会精神的理论知识有效转化为新时代学校改革发展的助力。继续推进“我是党员-我在行动”活动，邀请不同领域的专家学者，聚焦当下时事热点，对广大党员进行深入系统的解读和宣讲，进一步推动理论联系实际落地生根。</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探求思想政治工作抓手，将思想政治工作与学校教育教学管理工作融会贯通，做到日常，做到经常。搭建社会主义核心价值观培育团队，启动以明师德、铸师魂、树政德、谋发展的师生社会主义核心价值观培育工程。将思想政治工作与学校教育教学管理工作融会贯通，做到日常，做到经常。全力提升党员示范意识，创新方式，丰富载体。积极开展“共产党员先锋行动”，全面增强党员同志的特殊身份意识，立足本职，当先锋、做模范。组织党员同志参观张澜故居、罗瑞卿故居等红色革命基地，实地了解革命年代的光辉历程，广大党员的责任感和使命感显著增强。</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充分发挥群团作用，开展丰富多彩活动，促进师生身心健康、快乐。发挥工会服务教职员工功能。关心职工生活解决员工后顾之忧，每月一次的“教职工集体生日”，增进了职工之间的友谊和情感；组建声乐、舞蹈、书法、跆拳道等“工会兴趣小组”丰富广大教职工的业余文化生活。</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坚持党建带团建。指导团委创新工作方式、丰富活动内容，全面提升管理品质，完善团委、学生会干部管理体制机制，全面提升学生素质能力，助力学校发展；组织开展各类实践、艺术活动，丰富学生校园文化生活，增强学校凝聚力，学生归属感；组建10个学生自治社团，给学生搭建展示、成长的平台，培育学生兴趣爱好，增长自我教育能力，同时彰显办学特色，助力人才培养质量提升。</w:t>
      </w:r>
    </w:p>
    <w:p>
      <w:pPr>
        <w:ind w:left="319" w:leftChars="152"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善制度，规范程序，时刻绷紧反腐倡廉之弦。依规完成正风肃纪监督工作。做到自查自纠深入彻底，专项检查全面覆盖，整改落实认真到位。定期进行廉政谈话，确保党员干部时刻绷紧反腐倡廉之弦。严格执行“三重一大”集体决策制度，力求用制度将风险防控于未然。</w:t>
      </w:r>
    </w:p>
    <w:p>
      <w:pPr>
        <w:ind w:left="319" w:leftChars="152"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制定《南充电子工业学校加强和改进意识形态工作的实施意见》，梳理意识形态建设责任清单，强化意识形态工作监督机制。</w:t>
      </w:r>
    </w:p>
    <w:p>
      <w:pPr>
        <w:rPr>
          <w:rFonts w:ascii="仿宋" w:hAnsi="仿宋" w:eastAsia="仿宋"/>
        </w:rPr>
      </w:pPr>
    </w:p>
    <w:p>
      <w:pPr>
        <w:pStyle w:val="6"/>
        <w:spacing w:before="0" w:beforeAutospacing="0" w:after="252" w:afterAutospacing="0" w:line="315" w:lineRule="atLeast"/>
        <w:rPr>
          <w:rFonts w:ascii="仿宋" w:hAnsi="仿宋" w:eastAsia="仿宋" w:cs="仿宋_GB2312"/>
          <w:b/>
          <w:bCs/>
          <w:color w:val="000000" w:themeColor="text1"/>
          <w:sz w:val="36"/>
          <w:szCs w:val="36"/>
          <w14:textFill>
            <w14:solidFill>
              <w14:schemeClr w14:val="tx1"/>
            </w14:solidFill>
          </w14:textFill>
        </w:rPr>
      </w:pPr>
      <w:r>
        <w:rPr>
          <w:rFonts w:hint="eastAsia" w:ascii="仿宋" w:hAnsi="仿宋" w:eastAsia="仿宋" w:cs="仿宋_GB2312"/>
          <w:b/>
          <w:bCs/>
          <w:color w:val="000000" w:themeColor="text1"/>
          <w:sz w:val="36"/>
          <w:szCs w:val="36"/>
          <w14:textFill>
            <w14:solidFill>
              <w14:schemeClr w14:val="tx1"/>
            </w14:solidFill>
          </w14:textFill>
        </w:rPr>
        <w:t>四、校企合作</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4.1校企合作开展情况和效果</w:t>
      </w:r>
    </w:p>
    <w:p>
      <w:pPr>
        <w:ind w:firstLine="620" w:firstLineChars="200"/>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sz w:val="31"/>
          <w14:textFill>
            <w14:solidFill>
              <w14:schemeClr w14:val="tx1"/>
            </w14:solidFill>
          </w14:textFill>
        </w:rPr>
        <w:t>学校坚持校企合作、工学结合的基本办学制度，充分发挥校企双元办学主体作业，通过“引企入校，订单开班培养、现代学徒制”等途径和方式，促进行业企业参与人才培养全过程，为学校招生、实习、就业提供良好的保障，学校与吉利四川商用车有限公司、上海大众汽车、成都吉利领克汽车有限公司、上汽通用汽车有限公司、中石化江苏油田矿业开发有限公司、广东高速公路有限公司、南昌铁路局、华科电子有限公司等十多家有实力的企业签订了校企合作协议，学校开展招生订单办学，目前吉利集团、上汽通用汽车已成立订单班。</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4.2学生实习情况</w:t>
      </w:r>
    </w:p>
    <w:p>
      <w:pPr>
        <w:ind w:firstLine="775" w:firstLineChars="250"/>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sz w:val="31"/>
          <w14:textFill>
            <w14:solidFill>
              <w14:schemeClr w14:val="tx1"/>
            </w14:solidFill>
          </w14:textFill>
        </w:rPr>
        <w:t>学校严格执行按照教育部相关文件规定及管理办法安置学生就业。成立学生就业领导小组、招就处、教务处、学保处为小组成员。</w:t>
      </w:r>
    </w:p>
    <w:p>
      <w:pPr>
        <w:ind w:firstLine="620" w:firstLineChars="200"/>
        <w:rPr>
          <w:rFonts w:ascii="仿宋" w:hAnsi="仿宋" w:eastAsia="仿宋" w:cs="仿宋"/>
          <w:color w:val="000000" w:themeColor="text1"/>
          <w:sz w:val="31"/>
          <w14:textFill>
            <w14:solidFill>
              <w14:schemeClr w14:val="tx1"/>
            </w14:solidFill>
          </w14:textFill>
        </w:rPr>
      </w:pPr>
      <w:r>
        <w:rPr>
          <w:rFonts w:hint="eastAsia" w:ascii="仿宋" w:hAnsi="仿宋" w:eastAsia="仿宋" w:cs="仿宋"/>
          <w:color w:val="000000" w:themeColor="text1"/>
          <w:sz w:val="31"/>
          <w14:textFill>
            <w14:solidFill>
              <w14:schemeClr w14:val="tx1"/>
            </w14:solidFill>
          </w14:textFill>
        </w:rPr>
        <w:t>2019年实习就业人数500人，直接就业人数483人，就业率96.6%，对口率98.9%。城区就业人数369人，镇区就业120人，乡村就业11人，所有学校安置的顶岗实习学生均签订校、企、生、（家长）三方顶岗实习协议，明确实习期间的各项全责及要求，维护学校及学生利益。通过双向选择招聘就业单位吉利四川商用车有限公司、上汽通用汽车有限公司、南昌铁路局、广西南宁铁路、上海大众股份有限公司、广东高速公路有限公司、华科电子有限公司、中石化江苏油田矿业开发有限公司等，这些单位实习工资平均入3000元/月收以上，工作时间8小时，周末若需加班，按照国家规定执行。经调查这些单位对我校实习学生满意度达到95%以上。另外：会计专业部分学生赴大管家会计事务所实习就业，航空服务专业赴成都双流机场、上海浦东机场、昆明机场、实习就业，服装专业学生赴申州针织有限公司实习就业。通过单位了解到这些学生都有着吃苦耐劳、工作责任心强的态度，深受企业好评。他们积极热情的投入到培训中学。快速转换身份，融入企业，工作业绩突出。</w:t>
      </w:r>
    </w:p>
    <w:p>
      <w:pPr>
        <w:pStyle w:val="6"/>
        <w:spacing w:before="0" w:beforeAutospacing="0" w:after="252" w:afterAutospacing="0"/>
        <w:ind w:left="420" w:firstLine="321" w:firstLineChars="10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4.3集团化办学情况</w:t>
      </w:r>
    </w:p>
    <w:p>
      <w:pPr>
        <w:pStyle w:val="6"/>
        <w:spacing w:before="0" w:beforeAutospacing="0" w:after="252" w:afterAutospacing="0"/>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2011年4月，南充大成职业教育集团成立，所辖南充电子工业学校及眉山电子职业技术学校两个校区。</w:t>
      </w:r>
      <w:r>
        <w:rPr>
          <w:rFonts w:hint="eastAsia" w:ascii="仿宋" w:hAnsi="仿宋" w:eastAsia="仿宋" w:cs="仿宋_GB2312"/>
          <w:color w:val="000000" w:themeColor="text1"/>
          <w:sz w:val="32"/>
          <w:szCs w:val="32"/>
          <w:shd w:val="clear" w:color="auto" w:fill="FFFFFF"/>
          <w14:textFill>
            <w14:solidFill>
              <w14:schemeClr w14:val="tx1"/>
            </w14:solidFill>
          </w14:textFill>
        </w:rPr>
        <w:t>实行集团领导下的校长负责制，从教育理念、</w:t>
      </w:r>
      <w:r>
        <w:fldChar w:fldCharType="begin"/>
      </w:r>
      <w:r>
        <w:instrText xml:space="preserve"> HYPERLINK "http://www.baike.com/sowiki/%E5%AD%A6%E6%A0%A1%E7%AE%A1%E7%90%86?prd=content_doc_search" \t "http://www.baike.com/wiki/_blank" \o "学校管理" </w:instrText>
      </w:r>
      <w:r>
        <w:fldChar w:fldCharType="separate"/>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t>学校管理</w:t>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fldChar w:fldCharType="end"/>
      </w:r>
      <w:r>
        <w:rPr>
          <w:rFonts w:hint="eastAsia" w:ascii="仿宋" w:hAnsi="仿宋" w:eastAsia="仿宋" w:cs="仿宋_GB2312"/>
          <w:color w:val="000000" w:themeColor="text1"/>
          <w:sz w:val="32"/>
          <w:szCs w:val="32"/>
          <w:shd w:val="clear" w:color="auto" w:fill="FFFFFF"/>
          <w14:textFill>
            <w14:solidFill>
              <w14:schemeClr w14:val="tx1"/>
            </w14:solidFill>
          </w14:textFill>
        </w:rPr>
        <w:t>、</w:t>
      </w:r>
      <w:r>
        <w:fldChar w:fldCharType="begin"/>
      </w:r>
      <w:r>
        <w:instrText xml:space="preserve"> HYPERLINK "http://www.baike.com/sowiki/%E6%95%99%E8%82%B2%E7%A7%91%E7%A0%94?prd=content_doc_search" \t "http://www.baike.com/wiki/_blank" \o "教育科研" </w:instrText>
      </w:r>
      <w:r>
        <w:fldChar w:fldCharType="separate"/>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t>教育科研</w:t>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fldChar w:fldCharType="end"/>
      </w:r>
      <w:r>
        <w:rPr>
          <w:rFonts w:hint="eastAsia" w:ascii="仿宋" w:hAnsi="仿宋" w:eastAsia="仿宋" w:cs="仿宋_GB2312"/>
          <w:color w:val="000000" w:themeColor="text1"/>
          <w:sz w:val="32"/>
          <w:szCs w:val="32"/>
          <w:shd w:val="clear" w:color="auto" w:fill="FFFFFF"/>
          <w14:textFill>
            <w14:solidFill>
              <w14:schemeClr w14:val="tx1"/>
            </w14:solidFill>
          </w14:textFill>
        </w:rPr>
        <w:t>、</w:t>
      </w:r>
      <w:r>
        <w:fldChar w:fldCharType="begin"/>
      </w:r>
      <w:r>
        <w:instrText xml:space="preserve"> HYPERLINK "http://www.baike.com/sowiki/%E4%BF%A1%E6%81%AF%E6%8A%80%E6%9C%AF?prd=content_doc_search" \t "http://www.baike.com/wiki/_blank" \o "信息技术" </w:instrText>
      </w:r>
      <w:r>
        <w:fldChar w:fldCharType="separate"/>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t>信息技术</w:t>
      </w:r>
      <w:r>
        <w:rPr>
          <w:rStyle w:val="10"/>
          <w:rFonts w:hint="eastAsia" w:ascii="仿宋" w:hAnsi="仿宋" w:eastAsia="仿宋" w:cs="仿宋_GB2312"/>
          <w:color w:val="000000" w:themeColor="text1"/>
          <w:sz w:val="32"/>
          <w:szCs w:val="32"/>
          <w:shd w:val="clear" w:color="auto" w:fill="FFFFFF"/>
          <w14:textFill>
            <w14:solidFill>
              <w14:schemeClr w14:val="tx1"/>
            </w14:solidFill>
          </w14:textFill>
        </w:rPr>
        <w:fldChar w:fldCharType="end"/>
      </w:r>
      <w:r>
        <w:rPr>
          <w:rFonts w:hint="eastAsia" w:ascii="仿宋" w:hAnsi="仿宋" w:eastAsia="仿宋" w:cs="仿宋_GB2312"/>
          <w:color w:val="000000" w:themeColor="text1"/>
          <w:sz w:val="32"/>
          <w:szCs w:val="32"/>
          <w:shd w:val="clear" w:color="auto" w:fill="FFFFFF"/>
          <w14:textFill>
            <w14:solidFill>
              <w14:schemeClr w14:val="tx1"/>
            </w14:solidFill>
          </w14:textFill>
        </w:rPr>
        <w:t>、教育评价、校产管理等方面统一管理，做到了师资、设备、教学资源等的共享。两校之间既有统一的协调和管理，又相对独立，充分发挥各自的办学特色，实现互惠互助，共同成长。</w:t>
      </w:r>
    </w:p>
    <w:p>
      <w:pPr>
        <w:pStyle w:val="6"/>
        <w:spacing w:before="0" w:beforeAutospacing="0" w:after="252" w:afterAutospacing="0"/>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学校集团化办学的运行，引入市场经济的理念，借鉴现代企业的管理制度和运行机制，不断逐步建立起了符合集团化发展的内部管理制度，一是扁平化管理，管理层次少、简政放权、统一指挥、消除内耗，管理幅度大，管理效能高，是一种人性化的新型管理模式。二是网络化管理。三是全面质量管理，集团建立了一整套管理标准和制度，每月按计划对各学校常规工作进行检查和督导评估，并将评估结果与校区分管领导绩效工资挂钩。</w:t>
      </w:r>
    </w:p>
    <w:p>
      <w:pPr>
        <w:pStyle w:val="6"/>
        <w:spacing w:before="0" w:beforeAutospacing="0" w:after="252" w:afterAutospacing="0"/>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集团化办学在对教师管理上也作也了改革创新：在尊重教师意愿，考虑学校实际，满</w:t>
      </w:r>
      <w:r>
        <w:rPr>
          <w:rFonts w:hint="eastAsia" w:ascii="仿宋" w:hAnsi="仿宋" w:eastAsia="仿宋" w:cs="仿宋_GB2312"/>
          <w:color w:val="191919"/>
          <w:sz w:val="32"/>
          <w:szCs w:val="32"/>
          <w:shd w:val="clear" w:color="auto" w:fill="FFFFFF"/>
        </w:rPr>
        <w:t>足工作需要的基础上，统筹调配教师资源，切实均衡师资力量，推动学校均衡发展。在实施师资队伍深度融合过程中</w:t>
      </w:r>
      <w:r>
        <w:rPr>
          <w:rFonts w:hint="eastAsia" w:ascii="仿宋" w:hAnsi="仿宋" w:eastAsia="仿宋" w:cs="仿宋_GB2312"/>
          <w:color w:val="000000" w:themeColor="text1"/>
          <w:sz w:val="32"/>
          <w:szCs w:val="32"/>
          <w:shd w:val="clear" w:color="auto" w:fill="FFFFFF"/>
          <w14:textFill>
            <w14:solidFill>
              <w14:schemeClr w14:val="tx1"/>
            </w14:solidFill>
          </w14:textFill>
        </w:rPr>
        <w:t>，强化集团校一体化的概念与意识，提高教师身份的认同度，解决了教师合理流动的问题，又关注了教师归属感问题，使教师愿意交流，适应流动。同时，在流动过程中激发专业发展的潜力，激活专业进取的欲望，实现自身的专业发展与提升。设计科学合理的考核评价细则，实施对校干、教师、学校发展的考核评价，通过考核评价的统一性，减少管理与交流阻力，激发全体教育工作者的积极性与主动性。</w:t>
      </w:r>
    </w:p>
    <w:p>
      <w:pPr>
        <w:pStyle w:val="6"/>
        <w:spacing w:before="0" w:beforeAutospacing="0" w:after="252" w:afterAutospacing="0" w:line="315" w:lineRule="atLeast"/>
        <w:rPr>
          <w:rFonts w:ascii="仿宋" w:hAnsi="仿宋" w:eastAsia="仿宋" w:cs="仿宋_GB2312"/>
          <w:b/>
          <w:bCs/>
          <w:color w:val="000000" w:themeColor="text1"/>
          <w:sz w:val="36"/>
          <w:szCs w:val="36"/>
          <w14:textFill>
            <w14:solidFill>
              <w14:schemeClr w14:val="tx1"/>
            </w14:solidFill>
          </w14:textFill>
        </w:rPr>
      </w:pPr>
      <w:r>
        <w:rPr>
          <w:rFonts w:hint="eastAsia" w:ascii="仿宋" w:hAnsi="仿宋" w:eastAsia="仿宋" w:cs="仿宋_GB2312"/>
          <w:b/>
          <w:bCs/>
          <w:color w:val="000000" w:themeColor="text1"/>
          <w:sz w:val="36"/>
          <w:szCs w:val="36"/>
          <w14:textFill>
            <w14:solidFill>
              <w14:schemeClr w14:val="tx1"/>
            </w14:solidFill>
          </w14:textFill>
        </w:rPr>
        <w:t>五、社会贡献</w:t>
      </w:r>
    </w:p>
    <w:p>
      <w:pPr>
        <w:pStyle w:val="6"/>
        <w:shd w:val="clear" w:color="auto" w:fill="FFFFFF"/>
        <w:spacing w:before="0" w:beforeAutospacing="0" w:after="75" w:afterAutospacing="0" w:line="400" w:lineRule="atLeast"/>
        <w:ind w:firstLine="643" w:firstLineChars="200"/>
        <w:rPr>
          <w:rFonts w:ascii="仿宋" w:hAnsi="仿宋" w:eastAsia="仿宋" w:cs="仿宋_GB2312"/>
          <w:b/>
          <w:kern w:val="2"/>
          <w:sz w:val="32"/>
          <w:szCs w:val="32"/>
        </w:rPr>
      </w:pPr>
      <w:r>
        <w:rPr>
          <w:rFonts w:hint="eastAsia" w:ascii="仿宋" w:hAnsi="仿宋" w:eastAsia="仿宋" w:cs="仿宋_GB2312"/>
          <w:b/>
          <w:kern w:val="2"/>
          <w:sz w:val="32"/>
          <w:szCs w:val="32"/>
        </w:rPr>
        <w:t>5.1技术技能人才培养</w:t>
      </w:r>
    </w:p>
    <w:p>
      <w:pPr>
        <w:ind w:firstLine="64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注重专业技能技术人才的培养，在校期间，学生分别能考取计算机等级证书、普通话证书、电工、车工、汽车维修工、保育员等相关专业的职业资格证书，2018年总计考证率占毕业人数的77％，2019年总计考证率</w:t>
      </w:r>
      <w:r>
        <w:rPr>
          <w:rFonts w:hint="eastAsia" w:ascii="仿宋" w:hAnsi="仿宋" w:eastAsia="仿宋" w:cs="仿宋"/>
          <w:color w:val="000000" w:themeColor="text1"/>
          <w:sz w:val="32"/>
          <w:szCs w:val="32"/>
          <w:lang w:eastAsia="zh-CN"/>
          <w14:textFill>
            <w14:solidFill>
              <w14:schemeClr w14:val="tx1"/>
            </w14:solidFill>
          </w14:textFill>
        </w:rPr>
        <w:t>占</w:t>
      </w:r>
      <w:r>
        <w:rPr>
          <w:rFonts w:hint="eastAsia" w:ascii="仿宋" w:hAnsi="仿宋" w:eastAsia="仿宋" w:cs="仿宋"/>
          <w:color w:val="000000" w:themeColor="text1"/>
          <w:sz w:val="32"/>
          <w:szCs w:val="32"/>
          <w14:textFill>
            <w14:solidFill>
              <w14:schemeClr w14:val="tx1"/>
            </w14:solidFill>
          </w14:textFill>
        </w:rPr>
        <w:t>毕业人数的</w:t>
      </w:r>
      <w:r>
        <w:rPr>
          <w:rFonts w:hint="eastAsia" w:ascii="仿宋" w:hAnsi="仿宋" w:eastAsia="仿宋" w:cs="仿宋"/>
          <w:color w:val="000000" w:themeColor="text1"/>
          <w:sz w:val="32"/>
          <w:szCs w:val="32"/>
          <w:lang w:val="en-US" w:eastAsia="zh-CN"/>
          <w14:textFill>
            <w14:solidFill>
              <w14:schemeClr w14:val="tx1"/>
            </w14:solidFill>
          </w14:textFill>
        </w:rPr>
        <w:t>83</w:t>
      </w:r>
      <w:r>
        <w:rPr>
          <w:rFonts w:hint="eastAsia" w:ascii="仿宋" w:hAnsi="仿宋" w:eastAsia="仿宋" w:cs="仿宋"/>
          <w:color w:val="000000" w:themeColor="text1"/>
          <w:sz w:val="32"/>
          <w:szCs w:val="32"/>
          <w14:textFill>
            <w14:solidFill>
              <w14:schemeClr w14:val="tx1"/>
            </w14:solidFill>
          </w14:textFill>
        </w:rPr>
        <w:t>％。在学生实习、就业期间分别成为生产车间的拉长、部门技术骨干，就业的优胜率持续提高，如三环电子股份有限公司4名学生在实习时成为组长，吉利集团股份公司南充分公司3名学生在总装车间成为技术能手。学生的实习、就业工资在3000－5000元，为建设成渝第二城做出了一定的贡献。</w:t>
      </w:r>
    </w:p>
    <w:p>
      <w:pPr>
        <w:jc w:val="center"/>
        <w:rPr>
          <w:b/>
          <w:bCs/>
          <w:sz w:val="28"/>
          <w:szCs w:val="28"/>
        </w:rPr>
      </w:pPr>
      <w:r>
        <w:rPr>
          <w:rFonts w:hint="eastAsia"/>
          <w:b/>
          <w:bCs/>
          <w:sz w:val="28"/>
          <w:szCs w:val="28"/>
        </w:rPr>
        <w:t>企业对学生的就业满意度调查</w:t>
      </w:r>
    </w:p>
    <w:tbl>
      <w:tblPr>
        <w:tblStyle w:val="7"/>
        <w:tblW w:w="859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2430"/>
        <w:gridCol w:w="210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77" w:type="dxa"/>
          </w:tcPr>
          <w:p>
            <w:pPr>
              <w:jc w:val="center"/>
              <w:rPr>
                <w:sz w:val="28"/>
                <w:szCs w:val="28"/>
              </w:rPr>
            </w:pPr>
            <w:r>
              <w:rPr>
                <w:rFonts w:hint="eastAsia"/>
                <w:sz w:val="28"/>
                <w:szCs w:val="28"/>
              </w:rPr>
              <w:t>调查年份</w:t>
            </w:r>
          </w:p>
        </w:tc>
        <w:tc>
          <w:tcPr>
            <w:tcW w:w="2430" w:type="dxa"/>
          </w:tcPr>
          <w:p>
            <w:pPr>
              <w:jc w:val="center"/>
              <w:rPr>
                <w:sz w:val="28"/>
                <w:szCs w:val="28"/>
              </w:rPr>
            </w:pPr>
            <w:r>
              <w:rPr>
                <w:rFonts w:hint="eastAsia"/>
                <w:sz w:val="28"/>
                <w:szCs w:val="28"/>
              </w:rPr>
              <w:t>发放调查表</w:t>
            </w:r>
          </w:p>
        </w:tc>
        <w:tc>
          <w:tcPr>
            <w:tcW w:w="2100" w:type="dxa"/>
          </w:tcPr>
          <w:p>
            <w:pPr>
              <w:widowControl/>
              <w:jc w:val="center"/>
              <w:rPr>
                <w:sz w:val="28"/>
                <w:szCs w:val="28"/>
              </w:rPr>
            </w:pPr>
            <w:r>
              <w:rPr>
                <w:rFonts w:hint="eastAsia"/>
                <w:sz w:val="28"/>
                <w:szCs w:val="28"/>
              </w:rPr>
              <w:t>收回调查表</w:t>
            </w:r>
          </w:p>
        </w:tc>
        <w:tc>
          <w:tcPr>
            <w:tcW w:w="2490" w:type="dxa"/>
          </w:tcPr>
          <w:p>
            <w:pPr>
              <w:jc w:val="center"/>
              <w:rPr>
                <w:sz w:val="28"/>
                <w:szCs w:val="28"/>
              </w:rPr>
            </w:pPr>
            <w:r>
              <w:rPr>
                <w:rFonts w:hint="eastAsia"/>
                <w:sz w:val="28"/>
                <w:szCs w:val="28"/>
              </w:rPr>
              <w:t>企业满意度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77" w:type="dxa"/>
          </w:tcPr>
          <w:p>
            <w:pPr>
              <w:ind w:left="-90"/>
              <w:jc w:val="center"/>
              <w:rPr>
                <w:sz w:val="28"/>
                <w:szCs w:val="28"/>
              </w:rPr>
            </w:pPr>
            <w:r>
              <w:rPr>
                <w:rFonts w:hint="eastAsia"/>
                <w:sz w:val="28"/>
                <w:szCs w:val="28"/>
              </w:rPr>
              <w:t>2018</w:t>
            </w:r>
          </w:p>
        </w:tc>
        <w:tc>
          <w:tcPr>
            <w:tcW w:w="2430" w:type="dxa"/>
          </w:tcPr>
          <w:p>
            <w:pPr>
              <w:widowControl/>
              <w:jc w:val="center"/>
              <w:rPr>
                <w:sz w:val="28"/>
                <w:szCs w:val="28"/>
              </w:rPr>
            </w:pPr>
            <w:r>
              <w:rPr>
                <w:rFonts w:hint="eastAsia"/>
                <w:sz w:val="28"/>
                <w:szCs w:val="28"/>
              </w:rPr>
              <w:t>653</w:t>
            </w:r>
          </w:p>
        </w:tc>
        <w:tc>
          <w:tcPr>
            <w:tcW w:w="2100" w:type="dxa"/>
          </w:tcPr>
          <w:p>
            <w:pPr>
              <w:widowControl/>
              <w:jc w:val="center"/>
              <w:rPr>
                <w:sz w:val="28"/>
                <w:szCs w:val="28"/>
              </w:rPr>
            </w:pPr>
            <w:r>
              <w:rPr>
                <w:rFonts w:hint="eastAsia"/>
                <w:sz w:val="28"/>
                <w:szCs w:val="28"/>
              </w:rPr>
              <w:t>602</w:t>
            </w:r>
          </w:p>
        </w:tc>
        <w:tc>
          <w:tcPr>
            <w:tcW w:w="2490" w:type="dxa"/>
          </w:tcPr>
          <w:p>
            <w:pPr>
              <w:jc w:val="center"/>
              <w:rPr>
                <w:sz w:val="28"/>
                <w:szCs w:val="28"/>
              </w:rPr>
            </w:pPr>
            <w:r>
              <w:rPr>
                <w:rFonts w:hint="eastAsia"/>
                <w:sz w:val="28"/>
                <w:szCs w:val="28"/>
              </w:rPr>
              <w:t>79</w:t>
            </w:r>
            <w:r>
              <w:rPr>
                <w:rFonts w:hint="eastAsia"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77" w:type="dxa"/>
          </w:tcPr>
          <w:p>
            <w:pPr>
              <w:jc w:val="center"/>
              <w:rPr>
                <w:sz w:val="28"/>
                <w:szCs w:val="28"/>
              </w:rPr>
            </w:pPr>
            <w:r>
              <w:rPr>
                <w:rFonts w:hint="eastAsia"/>
                <w:sz w:val="28"/>
                <w:szCs w:val="28"/>
              </w:rPr>
              <w:t>2019</w:t>
            </w:r>
          </w:p>
        </w:tc>
        <w:tc>
          <w:tcPr>
            <w:tcW w:w="2430" w:type="dxa"/>
          </w:tcPr>
          <w:p>
            <w:pPr>
              <w:jc w:val="center"/>
              <w:rPr>
                <w:sz w:val="28"/>
                <w:szCs w:val="28"/>
              </w:rPr>
            </w:pPr>
            <w:r>
              <w:rPr>
                <w:rFonts w:hint="eastAsia"/>
                <w:sz w:val="28"/>
                <w:szCs w:val="28"/>
              </w:rPr>
              <w:t>846</w:t>
            </w:r>
          </w:p>
        </w:tc>
        <w:tc>
          <w:tcPr>
            <w:tcW w:w="2100" w:type="dxa"/>
          </w:tcPr>
          <w:p>
            <w:pPr>
              <w:jc w:val="center"/>
              <w:rPr>
                <w:sz w:val="28"/>
                <w:szCs w:val="28"/>
              </w:rPr>
            </w:pPr>
            <w:r>
              <w:rPr>
                <w:rFonts w:hint="eastAsia"/>
                <w:sz w:val="28"/>
                <w:szCs w:val="28"/>
              </w:rPr>
              <w:t>823</w:t>
            </w:r>
          </w:p>
        </w:tc>
        <w:tc>
          <w:tcPr>
            <w:tcW w:w="2490" w:type="dxa"/>
          </w:tcPr>
          <w:p>
            <w:pPr>
              <w:jc w:val="center"/>
              <w:rPr>
                <w:sz w:val="28"/>
                <w:szCs w:val="28"/>
              </w:rPr>
            </w:pPr>
            <w:r>
              <w:rPr>
                <w:rFonts w:hint="eastAsia"/>
                <w:sz w:val="28"/>
                <w:szCs w:val="28"/>
              </w:rPr>
              <w:t>82</w:t>
            </w:r>
            <w:r>
              <w:rPr>
                <w:rFonts w:hint="eastAsia" w:ascii="宋体" w:hAnsi="宋体" w:eastAsia="宋体"/>
                <w:sz w:val="28"/>
                <w:szCs w:val="28"/>
              </w:rPr>
              <w:t>％</w:t>
            </w:r>
          </w:p>
        </w:tc>
      </w:tr>
    </w:tbl>
    <w:p/>
    <w:p>
      <w:pPr>
        <w:pStyle w:val="6"/>
        <w:shd w:val="clear" w:color="auto" w:fill="FFFFFF"/>
        <w:spacing w:before="0" w:beforeAutospacing="0" w:after="75" w:afterAutospacing="0" w:line="400" w:lineRule="atLeast"/>
        <w:ind w:firstLine="643" w:firstLineChars="200"/>
        <w:rPr>
          <w:rFonts w:ascii="仿宋" w:hAnsi="仿宋" w:eastAsia="仿宋" w:cs="仿宋_GB2312"/>
          <w:b/>
          <w:bCs/>
          <w:kern w:val="2"/>
          <w:sz w:val="32"/>
          <w:szCs w:val="32"/>
        </w:rPr>
      </w:pPr>
      <w:r>
        <w:rPr>
          <w:rFonts w:hint="eastAsia" w:ascii="仿宋" w:hAnsi="仿宋" w:eastAsia="仿宋" w:cs="仿宋_GB2312"/>
          <w:b/>
          <w:bCs/>
          <w:kern w:val="2"/>
          <w:sz w:val="32"/>
          <w:szCs w:val="32"/>
        </w:rPr>
        <w:t>5.2社会服务</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C0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学校高度重视社会服务工作，尤其是在汽车专业、电子技术专业，2019年共培训农民工310人，从事相关行业120人；2019年培训再就业人员180人，经过培训再就业人员97人。学校的师资和实训室对社会开放，2019年共对社会服务60天。</w:t>
      </w:r>
    </w:p>
    <w:p>
      <w:pPr>
        <w:pStyle w:val="6"/>
        <w:shd w:val="clear" w:color="auto" w:fill="FFFFFF"/>
        <w:spacing w:before="0" w:beforeAutospacing="0" w:after="75" w:afterAutospacing="0" w:line="400" w:lineRule="atLeast"/>
        <w:ind w:firstLine="643" w:firstLineChars="200"/>
        <w:rPr>
          <w:rFonts w:ascii="仿宋" w:hAnsi="仿宋" w:eastAsia="仿宋" w:cs="仿宋_GB2312"/>
          <w:b/>
          <w:color w:val="000000" w:themeColor="text1"/>
          <w:kern w:val="2"/>
          <w:sz w:val="32"/>
          <w:szCs w:val="32"/>
          <w14:textFill>
            <w14:solidFill>
              <w14:schemeClr w14:val="tx1"/>
            </w14:solidFill>
          </w14:textFill>
        </w:rPr>
      </w:pPr>
      <w:r>
        <w:rPr>
          <w:rFonts w:hint="eastAsia" w:ascii="仿宋" w:hAnsi="仿宋" w:eastAsia="仿宋" w:cs="仿宋_GB2312"/>
          <w:b/>
          <w:color w:val="000000" w:themeColor="text1"/>
          <w:kern w:val="2"/>
          <w:sz w:val="32"/>
          <w:szCs w:val="32"/>
          <w14:textFill>
            <w14:solidFill>
              <w14:schemeClr w14:val="tx1"/>
            </w14:solidFill>
          </w14:textFill>
        </w:rPr>
        <w:t>5.3对口支援</w:t>
      </w:r>
    </w:p>
    <w:p>
      <w:pPr>
        <w:pStyle w:val="6"/>
        <w:shd w:val="clear" w:color="auto" w:fill="FFFFFF"/>
        <w:spacing w:before="0" w:beforeAutospacing="0" w:after="75" w:afterAutospacing="0" w:line="400" w:lineRule="atLeas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学校对家庭特别困难的学生对口扶贫， 28名高坪籍特别困难学生实行建档立卡，均享受免学费1900元一年，共三年。助学金2000元一年，共两年。建档立卡特别资助1000元一年，共三年。保证他们能顺利完成学业。</w:t>
      </w:r>
    </w:p>
    <w:p>
      <w:pPr>
        <w:pStyle w:val="6"/>
        <w:shd w:val="clear" w:color="auto" w:fill="FFFFFF"/>
        <w:spacing w:before="0" w:beforeAutospacing="0" w:after="75" w:afterAutospacing="0" w:line="400" w:lineRule="atLeast"/>
        <w:rPr>
          <w:rFonts w:ascii="仿宋" w:hAnsi="仿宋" w:eastAsia="仿宋" w:cs="仿宋_GB2312"/>
          <w:b/>
          <w:bCs/>
          <w:color w:val="000000" w:themeColor="text1"/>
          <w:kern w:val="2"/>
          <w:sz w:val="36"/>
          <w:szCs w:val="36"/>
          <w14:textFill>
            <w14:solidFill>
              <w14:schemeClr w14:val="tx1"/>
            </w14:solidFill>
          </w14:textFill>
        </w:rPr>
      </w:pPr>
      <w:r>
        <w:rPr>
          <w:rFonts w:hint="eastAsia" w:ascii="仿宋" w:hAnsi="仿宋" w:eastAsia="仿宋" w:cs="仿宋_GB2312"/>
          <w:b/>
          <w:bCs/>
          <w:color w:val="000000" w:themeColor="text1"/>
          <w:kern w:val="2"/>
          <w:sz w:val="36"/>
          <w:szCs w:val="36"/>
          <w14:textFill>
            <w14:solidFill>
              <w14:schemeClr w14:val="tx1"/>
            </w14:solidFill>
          </w14:textFill>
        </w:rPr>
        <w:t>六、举办者履责</w:t>
      </w:r>
    </w:p>
    <w:p>
      <w:pPr>
        <w:pStyle w:val="6"/>
        <w:shd w:val="clear" w:color="auto" w:fill="FFFFFF"/>
        <w:spacing w:before="0" w:beforeAutospacing="0" w:after="75" w:afterAutospacing="0" w:line="400" w:lineRule="atLeast"/>
        <w:ind w:firstLine="643" w:firstLineChars="200"/>
        <w:rPr>
          <w:rFonts w:ascii="仿宋" w:hAnsi="仿宋" w:eastAsia="仿宋" w:cs="仿宋_GB2312"/>
          <w:b/>
          <w:color w:val="000000" w:themeColor="text1"/>
          <w:kern w:val="2"/>
          <w:sz w:val="32"/>
          <w:szCs w:val="32"/>
          <w14:textFill>
            <w14:solidFill>
              <w14:schemeClr w14:val="tx1"/>
            </w14:solidFill>
          </w14:textFill>
        </w:rPr>
      </w:pPr>
      <w:r>
        <w:rPr>
          <w:rFonts w:hint="eastAsia" w:ascii="仿宋" w:hAnsi="仿宋" w:eastAsia="仿宋" w:cs="仿宋_GB2312"/>
          <w:b/>
          <w:color w:val="000000" w:themeColor="text1"/>
          <w:kern w:val="2"/>
          <w:sz w:val="32"/>
          <w:szCs w:val="32"/>
          <w14:textFill>
            <w14:solidFill>
              <w14:schemeClr w14:val="tx1"/>
            </w14:solidFill>
          </w14:textFill>
        </w:rPr>
        <w:t>6.1经费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1、学校获得国家专项资金10万元，用于学校高技能培训基地，提高学校对高技能人才的培训。</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2、学校自筹资金35万元，用于建造LED大屏幕.</w:t>
      </w:r>
    </w:p>
    <w:p>
      <w:pPr>
        <w:ind w:firstLine="640" w:firstLineChars="200"/>
        <w:rPr>
          <w:rFonts w:ascii="仿宋" w:hAnsi="仿宋" w:eastAsia="仿宋" w:cs="仿宋"/>
          <w:color w:val="C00000"/>
          <w:sz w:val="32"/>
          <w:szCs w:val="32"/>
        </w:rPr>
      </w:pPr>
      <w:r>
        <w:rPr>
          <w:rFonts w:hint="eastAsia" w:ascii="仿宋" w:hAnsi="仿宋" w:eastAsia="仿宋" w:cs="仿宋"/>
          <w:color w:val="000000" w:themeColor="text1"/>
          <w:sz w:val="32"/>
          <w:szCs w:val="32"/>
          <w14:textFill>
            <w14:solidFill>
              <w14:schemeClr w14:val="tx1"/>
            </w14:solidFill>
          </w14:textFill>
        </w:rPr>
        <w:t>3、自筹资金170万元，分别用于改造学生住宿条件，改造教室环境等设施；用于添置教学实训设备（如新能源汽车、无人机、机器人等设备）用于改善学校内部环境。</w:t>
      </w:r>
    </w:p>
    <w:p>
      <w:pPr>
        <w:pStyle w:val="6"/>
        <w:shd w:val="clear" w:color="auto" w:fill="FFFFFF"/>
        <w:spacing w:before="0" w:beforeAutospacing="0" w:after="75" w:afterAutospacing="0" w:line="400" w:lineRule="atLeast"/>
        <w:ind w:firstLine="643" w:firstLineChars="200"/>
        <w:rPr>
          <w:rFonts w:ascii="仿宋" w:hAnsi="仿宋" w:eastAsia="仿宋" w:cs="仿宋_GB2312"/>
          <w:b/>
          <w:kern w:val="2"/>
          <w:sz w:val="32"/>
          <w:szCs w:val="32"/>
        </w:rPr>
      </w:pPr>
      <w:r>
        <w:rPr>
          <w:rFonts w:hint="eastAsia" w:ascii="仿宋" w:hAnsi="仿宋" w:eastAsia="仿宋" w:cs="仿宋_GB2312"/>
          <w:b/>
          <w:kern w:val="2"/>
          <w:sz w:val="32"/>
          <w:szCs w:val="32"/>
        </w:rPr>
        <w:t>6.2政策措施</w:t>
      </w:r>
    </w:p>
    <w:p>
      <w:pPr>
        <w:pStyle w:val="6"/>
        <w:shd w:val="clear" w:color="auto" w:fill="FFFFFF"/>
        <w:spacing w:before="0" w:beforeAutospacing="0" w:after="75" w:afterAutospacing="0" w:line="400" w:lineRule="atLeast"/>
        <w:ind w:firstLine="640" w:firstLineChars="200"/>
        <w:rPr>
          <w:rFonts w:ascii="仿宋" w:hAnsi="仿宋" w:eastAsia="仿宋" w:cs="仿宋_GB2312"/>
          <w:kern w:val="2"/>
          <w:sz w:val="32"/>
          <w:szCs w:val="32"/>
        </w:rPr>
      </w:pPr>
      <w:r>
        <w:rPr>
          <w:rFonts w:hint="eastAsia" w:ascii="仿宋" w:hAnsi="仿宋" w:eastAsia="仿宋" w:cs="仿宋_GB2312"/>
          <w:kern w:val="2"/>
          <w:sz w:val="32"/>
          <w:szCs w:val="32"/>
        </w:rPr>
        <w:t>我校高度重视课程建设工作和提高教师业务水平工作。每年设立教学研究和教学改革项目，提升学校办学水平。加强课程建设的组织领导，保证课程建设工作的有效开展。加大经费投入力度，为课程建设提供必要的经费支持。</w:t>
      </w:r>
    </w:p>
    <w:p>
      <w:pPr>
        <w:pStyle w:val="6"/>
        <w:shd w:val="clear" w:color="auto" w:fill="FFFFFF"/>
        <w:spacing w:before="0" w:beforeAutospacing="0" w:after="75" w:afterAutospacing="0" w:line="400" w:lineRule="atLeast"/>
        <w:ind w:firstLine="640" w:firstLineChars="200"/>
        <w:rPr>
          <w:rFonts w:ascii="仿宋" w:hAnsi="仿宋" w:eastAsia="仿宋" w:cs="仿宋_GB2312"/>
          <w:kern w:val="2"/>
          <w:sz w:val="32"/>
          <w:szCs w:val="32"/>
        </w:rPr>
      </w:pPr>
      <w:r>
        <w:rPr>
          <w:rFonts w:hint="eastAsia" w:ascii="仿宋" w:hAnsi="仿宋" w:eastAsia="仿宋" w:cs="仿宋_GB2312"/>
          <w:kern w:val="2"/>
          <w:sz w:val="32"/>
          <w:szCs w:val="32"/>
        </w:rPr>
        <w:t>加强教师队伍建设，不断提高教学水平。为进一步加强教师队伍建设，学校注意引进学术水平和教学水平“双高”的主讲教师；鼓励并投入专项经费支持在职教师进行短期进修，不断提高教学科研水平；充分开发利用校内教学资源，加强对青年教师的指导和帮助，迅速提高青年教师的教学水平；巩固现代教育技术培训取得的成果，开办现代教育技术高级培训班，全面提高教师运用现代教育技术改革教学方法、手段的能力；在增加兼职教师数量的同时，提高外聘教师的质量。</w:t>
      </w:r>
      <w:r>
        <w:rPr>
          <w:rFonts w:hint="eastAsia"/>
          <w:kern w:val="2"/>
          <w:sz w:val="32"/>
          <w:szCs w:val="32"/>
        </w:rPr>
        <w:t> </w:t>
      </w:r>
      <w:r>
        <w:rPr>
          <w:rFonts w:hint="eastAsia" w:ascii="仿宋" w:hAnsi="仿宋" w:eastAsia="仿宋" w:cs="仿宋_GB2312"/>
          <w:kern w:val="2"/>
          <w:sz w:val="32"/>
          <w:szCs w:val="32"/>
        </w:rPr>
        <w:t>强化教改立项研究内容与课程建设的有机结合，不断更新课程建设内容。深化教学改革是加强课程建设的核心，是提高课程建设水平的源泉，为使课程建设内容不断更新，学校重点支持与课程建设关系密切的，以改革教学内容、课程体系、教学方法、教学手段和方式等为内容（含实践教学）的研究项目，使先进的教学经验和教改成果及时融入课程建设之中，从而不断提高课程建设水平。</w:t>
      </w:r>
      <w:r>
        <w:rPr>
          <w:rFonts w:hint="eastAsia"/>
          <w:kern w:val="2"/>
          <w:sz w:val="32"/>
          <w:szCs w:val="32"/>
        </w:rPr>
        <w:t> </w:t>
      </w:r>
    </w:p>
    <w:p>
      <w:pPr>
        <w:pStyle w:val="6"/>
        <w:shd w:val="clear" w:color="auto" w:fill="FFFFFF"/>
        <w:spacing w:before="0" w:beforeAutospacing="0" w:after="75" w:afterAutospacing="0" w:line="400" w:lineRule="atLeast"/>
        <w:ind w:firstLine="640" w:firstLineChars="200"/>
        <w:rPr>
          <w:rFonts w:ascii="仿宋" w:hAnsi="仿宋" w:eastAsia="仿宋" w:cs="仿宋_GB2312"/>
          <w:kern w:val="2"/>
          <w:sz w:val="32"/>
          <w:szCs w:val="32"/>
        </w:rPr>
      </w:pPr>
      <w:r>
        <w:rPr>
          <w:rFonts w:hint="eastAsia" w:ascii="仿宋" w:hAnsi="仿宋" w:eastAsia="仿宋" w:cs="仿宋_GB2312"/>
          <w:kern w:val="2"/>
          <w:sz w:val="32"/>
          <w:szCs w:val="32"/>
        </w:rPr>
        <w:t>建立科学合理的管理机制，确保课程建设质量。建立有效的激励机制，鼓励教师积极参加课程建设。学校把课程建设纳入教学工作考核、奖励范畴，建立相应的激励机制。</w:t>
      </w:r>
    </w:p>
    <w:p>
      <w:pPr>
        <w:pStyle w:val="6"/>
        <w:numPr>
          <w:ilvl w:val="0"/>
          <w:numId w:val="2"/>
        </w:numPr>
        <w:shd w:val="clear" w:color="auto" w:fill="FFFFFF"/>
        <w:spacing w:before="0" w:beforeAutospacing="0" w:after="75" w:afterAutospacing="0" w:line="400" w:lineRule="atLeast"/>
        <w:rPr>
          <w:rFonts w:ascii="仿宋" w:hAnsi="仿宋" w:eastAsia="仿宋" w:cs="仿宋_GB2312"/>
          <w:b/>
          <w:bCs/>
          <w:kern w:val="2"/>
          <w:sz w:val="36"/>
          <w:szCs w:val="36"/>
        </w:rPr>
      </w:pPr>
      <w:r>
        <w:rPr>
          <w:rFonts w:hint="eastAsia" w:ascii="仿宋" w:hAnsi="仿宋" w:eastAsia="仿宋" w:cs="仿宋_GB2312"/>
          <w:b/>
          <w:bCs/>
          <w:kern w:val="2"/>
          <w:sz w:val="36"/>
          <w:szCs w:val="36"/>
        </w:rPr>
        <w:t>特色创新</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开设情商教育课程</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为了培养学生控制情绪、与他人相处的能力，学校成立了情商教研室，目前教研室成员共</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人。针对于我校学生的实际情况编写出符合我校学生使用情商教材。</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实行全军事化管理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全面贯彻落实习近平总书记在十九大报告中关于“加强全民国防教育，巩固军政军民团结，为实现中国梦强军梦凝聚强大力量”的讲话，2017年12月我校与四川国防教育学院签订了联合办学协议，共同举办“国防后备人才培养班”，在全校实行军事化管理。在此基础上，学校内务管理水平也达到标准化、常态化。</w:t>
      </w:r>
    </w:p>
    <w:p>
      <w:pPr>
        <w:pStyle w:val="6"/>
        <w:shd w:val="clear" w:color="auto" w:fill="FFFFFF"/>
        <w:spacing w:before="0" w:beforeAutospacing="0" w:after="75" w:afterAutospacing="0" w:line="400" w:lineRule="atLeast"/>
        <w:rPr>
          <w:rFonts w:ascii="仿宋" w:hAnsi="仿宋" w:eastAsia="仿宋" w:cs="仿宋_GB2312"/>
          <w:b/>
          <w:bCs/>
          <w:color w:val="000000" w:themeColor="text1"/>
          <w:kern w:val="2"/>
          <w:sz w:val="32"/>
          <w:szCs w:val="32"/>
          <w14:textFill>
            <w14:solidFill>
              <w14:schemeClr w14:val="tx1"/>
            </w14:solidFill>
          </w14:textFill>
        </w:rPr>
      </w:pPr>
      <w:r>
        <w:rPr>
          <w:rFonts w:hint="eastAsia" w:ascii="仿宋" w:hAnsi="仿宋" w:eastAsia="仿宋" w:cs="仿宋_GB2312"/>
          <w:b/>
          <w:bCs/>
          <w:color w:val="000000" w:themeColor="text1"/>
          <w:kern w:val="2"/>
          <w:sz w:val="32"/>
          <w:szCs w:val="32"/>
          <w14:textFill>
            <w14:solidFill>
              <w14:schemeClr w14:val="tx1"/>
            </w14:solidFill>
          </w14:textFill>
        </w:rPr>
        <w:t>案例一：</w:t>
      </w: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探索校企合作、产教融合的办学模式</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一、实施背景</w:t>
      </w:r>
    </w:p>
    <w:p>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职业教育实际上是从业前的教育，如何让学生的就业观与用人单位的用人观相吻合，这是当前职业教育工作者需要探讨的问题。学校首先要确立“以企业为中心”的观念，一切以社会需要和企业需要为准则，致力于发挥学校的优势和潜力去解决企业用人需求的问题。因此，加强校企合作，推进产教融合，实现校企双赢，是促进职业技术教育改革和发展的必由之路，是培养紧缺型技能实用人才强劲动力。</w:t>
      </w:r>
    </w:p>
    <w:p>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位于南充嘉陵区的吉利四川商用车有限公司，决定遴选优秀的职业学校作为人才储备基地，我校于2016年9月开始筹备，2017年6月通过吉利四川商用车有限公司考察，被授予“吉利汽车人才培养基地” （授牌仪式见图11-1），决定于2017年9月组建“吉利工匠”远程班并授牌（见图11-2），同时为新建班级提供伍仟元奖学金。</w:t>
      </w:r>
    </w:p>
    <w:p>
      <w:pPr>
        <w:spacing w:line="400" w:lineRule="exact"/>
        <w:rPr>
          <w:rFonts w:ascii="仿宋" w:hAnsi="仿宋" w:eastAsia="仿宋" w:cs="宋体"/>
          <w:color w:val="000000" w:themeColor="text1"/>
          <w:szCs w:val="21"/>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图11-1：</w:t>
      </w:r>
      <w:r>
        <w:rPr>
          <w:rFonts w:hint="eastAsia" w:ascii="仿宋" w:hAnsi="仿宋" w:eastAsia="仿宋" w:cs="宋体"/>
          <w:color w:val="000000" w:themeColor="text1"/>
          <w:szCs w:val="21"/>
          <w14:textFill>
            <w14:solidFill>
              <w14:schemeClr w14:val="tx1"/>
            </w14:solidFill>
          </w14:textFill>
        </w:rPr>
        <w:t>吉利汽车人才培养基地授牌仪式</w:t>
      </w:r>
    </w:p>
    <w:p>
      <w:pPr>
        <w:ind w:firstLine="645"/>
        <w:jc w:val="center"/>
        <w:rPr>
          <w:rFonts w:ascii="仿宋" w:hAnsi="仿宋" w:eastAsia="仿宋"/>
          <w:color w:val="C00000"/>
          <w:sz w:val="32"/>
          <w:szCs w:val="32"/>
        </w:rPr>
      </w:pPr>
      <w:r>
        <w:rPr>
          <w:rFonts w:ascii="仿宋" w:hAnsi="仿宋" w:eastAsia="仿宋"/>
          <w:color w:val="C00000"/>
          <w:sz w:val="32"/>
          <w:szCs w:val="32"/>
        </w:rPr>
        <w:drawing>
          <wp:inline distT="0" distB="0" distL="0" distR="0">
            <wp:extent cx="4603115" cy="2695575"/>
            <wp:effectExtent l="0" t="0" r="6985" b="952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2169" cy="2700527"/>
                    </a:xfrm>
                    <a:prstGeom prst="rect">
                      <a:avLst/>
                    </a:prstGeom>
                  </pic:spPr>
                </pic:pic>
              </a:graphicData>
            </a:graphic>
          </wp:inline>
        </w:drawing>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图11-2</w:t>
      </w:r>
    </w:p>
    <w:p>
      <w:pPr>
        <w:spacing w:line="400" w:lineRule="exact"/>
        <w:rPr>
          <w:rFonts w:ascii="仿宋" w:hAnsi="仿宋" w:eastAsia="仿宋" w:cs="宋体"/>
          <w:color w:val="C00000"/>
          <w:szCs w:val="21"/>
        </w:rPr>
      </w:pPr>
      <w:r>
        <w:rPr>
          <w:rFonts w:hint="eastAsia" w:ascii="仿宋" w:hAnsi="仿宋" w:eastAsia="仿宋" w:cs="宋体"/>
          <w:color w:val="C00000"/>
          <w:szCs w:val="21"/>
        </w:rPr>
        <w:drawing>
          <wp:anchor distT="0" distB="0" distL="114300" distR="114300" simplePos="0" relativeHeight="251662336" behindDoc="0" locked="0" layoutInCell="1" allowOverlap="1">
            <wp:simplePos x="0" y="0"/>
            <wp:positionH relativeFrom="column">
              <wp:posOffset>485775</wp:posOffset>
            </wp:positionH>
            <wp:positionV relativeFrom="paragraph">
              <wp:posOffset>342900</wp:posOffset>
            </wp:positionV>
            <wp:extent cx="4646295" cy="2781300"/>
            <wp:effectExtent l="0" t="0" r="1905" b="0"/>
            <wp:wrapTopAndBottom/>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46295" cy="2781300"/>
                    </a:xfrm>
                    <a:prstGeom prst="rect">
                      <a:avLst/>
                    </a:prstGeom>
                  </pic:spPr>
                </pic:pic>
              </a:graphicData>
            </a:graphic>
          </wp:anchor>
        </w:drawing>
      </w:r>
    </w:p>
    <w:p>
      <w:pPr>
        <w:pStyle w:val="11"/>
        <w:numPr>
          <w:ilvl w:val="0"/>
          <w:numId w:val="0"/>
        </w:numPr>
        <w:ind w:leftChars="0"/>
        <w:rPr>
          <w:rFonts w:ascii="仿宋" w:hAnsi="仿宋" w:eastAsia="仿宋"/>
          <w:b/>
          <w:color w:val="000000" w:themeColor="text1"/>
          <w:sz w:val="30"/>
          <w:szCs w:val="30"/>
          <w14:textFill>
            <w14:solidFill>
              <w14:schemeClr w14:val="tx1"/>
            </w14:solidFill>
          </w14:textFill>
        </w:rPr>
      </w:pPr>
    </w:p>
    <w:p>
      <w:pPr>
        <w:pStyle w:val="11"/>
        <w:numPr>
          <w:ilvl w:val="0"/>
          <w:numId w:val="3"/>
        </w:numPr>
        <w:ind w:firstLineChars="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建设目标</w:t>
      </w:r>
    </w:p>
    <w:p>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通过深入企业一线调研，将企业中的不同岗位工作内容进行汇总，抽离其中的知识要点，以具体的工作任务为引领，深化教学模式改革，邀请企业专家共同制定课程标准、共同撰写人才培养方案、共同编写教材。最终编写出一批具有与企业生产实践相结合的优质教材。</w:t>
      </w:r>
    </w:p>
    <w:p>
      <w:pPr>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聘请企业专家进课堂，改变以往的课堂讲述方式，形成任务驱动，让做、学、教融为一体，切实让学生掌握企业所需技能。并通过多种考核进行学生综合素质评价，择优入职，最终实现校企一体、产教融合的办学新模式。</w:t>
      </w:r>
    </w:p>
    <w:p>
      <w:pPr>
        <w:pStyle w:val="11"/>
        <w:numPr>
          <w:ilvl w:val="0"/>
          <w:numId w:val="3"/>
        </w:numPr>
        <w:ind w:firstLineChars="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实施方案</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1、2017年7月签定现代学徒制校企合作协议</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2、2017年8月，根据职业岗位要求的知识水平、技能等级、培养目标，制定出数学标准、课程设置、教学大纲等。并确定就读层次为大专。</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3、严把招生关，入学前进行严格的笔试、面试、体检，根据“吉</w:t>
      </w:r>
      <w:r>
        <w:rPr>
          <w:rFonts w:hint="eastAsia" w:ascii="仿宋" w:hAnsi="仿宋" w:eastAsia="仿宋"/>
          <w:color w:val="000000" w:themeColor="text1"/>
          <w:sz w:val="32"/>
          <w:szCs w:val="32"/>
          <w14:textFill>
            <w14:solidFill>
              <w14:schemeClr w14:val="tx1"/>
            </w14:solidFill>
          </w14:textFill>
        </w:rPr>
        <w:t>利工匠”远程班</w:t>
      </w:r>
      <w:r>
        <w:rPr>
          <w:rFonts w:hint="eastAsia" w:ascii="仿宋" w:hAnsi="仿宋" w:eastAsia="仿宋" w:cs="宋体"/>
          <w:color w:val="000000" w:themeColor="text1"/>
          <w:sz w:val="32"/>
          <w:szCs w:val="28"/>
          <w14:textFill>
            <w14:solidFill>
              <w14:schemeClr w14:val="tx1"/>
            </w14:solidFill>
          </w14:textFill>
        </w:rPr>
        <w:t>采取的一签三定的运作模式（签订培养协议，定向专业、定向招生、定向就业）于2017年9月组建班级（见图12-1）。</w:t>
      </w:r>
    </w:p>
    <w:p>
      <w:pPr>
        <w:ind w:firstLine="643" w:firstLineChars="200"/>
        <w:rPr>
          <w:rFonts w:ascii="仿宋" w:hAnsi="仿宋" w:eastAsia="仿宋" w:cs="宋体"/>
          <w:b/>
          <w:color w:val="000000" w:themeColor="text1"/>
          <w:sz w:val="32"/>
          <w:szCs w:val="28"/>
          <w14:textFill>
            <w14:solidFill>
              <w14:schemeClr w14:val="tx1"/>
            </w14:solidFill>
          </w14:textFill>
        </w:rPr>
      </w:pPr>
      <w:r>
        <w:rPr>
          <w:rFonts w:hint="eastAsia" w:ascii="仿宋" w:hAnsi="仿宋" w:eastAsia="仿宋" w:cs="宋体"/>
          <w:b/>
          <w:color w:val="000000" w:themeColor="text1"/>
          <w:sz w:val="32"/>
          <w:szCs w:val="28"/>
          <w14:textFill>
            <w14:solidFill>
              <w14:schemeClr w14:val="tx1"/>
            </w14:solidFill>
          </w14:textFill>
        </w:rPr>
        <w:t>图12-1：</w:t>
      </w:r>
    </w:p>
    <w:p>
      <w:pPr>
        <w:ind w:firstLine="640" w:firstLineChars="200"/>
        <w:jc w:val="center"/>
        <w:rPr>
          <w:rFonts w:ascii="仿宋" w:hAnsi="仿宋" w:eastAsia="仿宋" w:cs="宋体"/>
          <w:color w:val="C00000"/>
          <w:sz w:val="32"/>
          <w:szCs w:val="28"/>
        </w:rPr>
      </w:pPr>
      <w:r>
        <w:rPr>
          <w:rFonts w:ascii="仿宋" w:hAnsi="仿宋" w:eastAsia="仿宋" w:cs="宋体"/>
          <w:color w:val="000000" w:themeColor="text1"/>
          <w:sz w:val="32"/>
          <w:szCs w:val="28"/>
          <w14:textFill>
            <w14:solidFill>
              <w14:schemeClr w14:val="tx1"/>
            </w14:solidFill>
          </w14:textFill>
        </w:rPr>
        <w:drawing>
          <wp:inline distT="0" distB="0" distL="0" distR="0">
            <wp:extent cx="4513580" cy="3008630"/>
            <wp:effectExtent l="0" t="0" r="1270" b="127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35615" cy="3023561"/>
                    </a:xfrm>
                    <a:prstGeom prst="rect">
                      <a:avLst/>
                    </a:prstGeom>
                  </pic:spPr>
                </pic:pic>
              </a:graphicData>
            </a:graphic>
          </wp:inline>
        </w:drawing>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4、为了突出实用性，学校将以工学交替的“教学工厂”和实践教学的“现场案例分析”的模式，强化训练学生的实际操作能力，同时导入企业要求的必修课（见图12-2）。</w:t>
      </w:r>
    </w:p>
    <w:p>
      <w:pPr>
        <w:rPr>
          <w:rFonts w:ascii="仿宋" w:hAnsi="仿宋" w:eastAsia="仿宋" w:cs="宋体"/>
          <w:color w:val="000000" w:themeColor="text1"/>
          <w:sz w:val="32"/>
          <w:szCs w:val="28"/>
          <w14:textFill>
            <w14:solidFill>
              <w14:schemeClr w14:val="tx1"/>
            </w14:solidFill>
          </w14:textFill>
        </w:rPr>
      </w:pPr>
    </w:p>
    <w:p>
      <w:pPr>
        <w:ind w:firstLine="643" w:firstLineChars="200"/>
        <w:rPr>
          <w:rFonts w:ascii="仿宋" w:hAnsi="仿宋" w:eastAsia="仿宋" w:cs="宋体"/>
          <w:b/>
          <w:color w:val="000000" w:themeColor="text1"/>
          <w:sz w:val="32"/>
          <w:szCs w:val="28"/>
          <w14:textFill>
            <w14:solidFill>
              <w14:schemeClr w14:val="tx1"/>
            </w14:solidFill>
          </w14:textFill>
        </w:rPr>
      </w:pPr>
      <w:r>
        <w:rPr>
          <w:rFonts w:hint="eastAsia" w:ascii="仿宋" w:hAnsi="仿宋" w:eastAsia="仿宋" w:cs="宋体"/>
          <w:b/>
          <w:color w:val="000000" w:themeColor="text1"/>
          <w:sz w:val="32"/>
          <w:szCs w:val="28"/>
          <w14:textFill>
            <w14:solidFill>
              <w14:schemeClr w14:val="tx1"/>
            </w14:solidFill>
          </w14:textFill>
        </w:rPr>
        <w:t>图12-2：</w:t>
      </w:r>
    </w:p>
    <w:p>
      <w:pPr>
        <w:widowControl/>
        <w:jc w:val="center"/>
        <w:rPr>
          <w:rFonts w:ascii="仿宋" w:hAnsi="仿宋" w:eastAsia="仿宋" w:cs="宋体"/>
          <w:color w:val="C00000"/>
          <w:kern w:val="0"/>
          <w:sz w:val="24"/>
        </w:rPr>
      </w:pPr>
      <w:r>
        <w:rPr>
          <w:rFonts w:ascii="仿宋" w:hAnsi="仿宋" w:eastAsia="仿宋" w:cs="宋体"/>
          <w:color w:val="C00000"/>
          <w:kern w:val="0"/>
          <w:sz w:val="24"/>
        </w:rPr>
        <w:drawing>
          <wp:inline distT="0" distB="0" distL="0" distR="0">
            <wp:extent cx="5195570" cy="2428875"/>
            <wp:effectExtent l="0" t="0" r="5080" b="9525"/>
            <wp:docPr id="24" name="图片 11" descr="C:\Users\Administrator\AppData\Roaming\Tencent\Users\308672387\QQ\WinTemp\RichOle\]{GJQNUOZ{TTD[FWB@%R3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C:\Users\Administrator\AppData\Roaming\Tencent\Users\308672387\QQ\WinTemp\RichOle\]{GJQNUOZ{TTD[FWB@%R35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195764" cy="2428875"/>
                    </a:xfrm>
                    <a:prstGeom prst="rect">
                      <a:avLst/>
                    </a:prstGeom>
                    <a:noFill/>
                    <a:ln>
                      <a:noFill/>
                    </a:ln>
                  </pic:spPr>
                </pic:pic>
              </a:graphicData>
            </a:graphic>
          </wp:inline>
        </w:drawing>
      </w:r>
    </w:p>
    <w:p>
      <w:pPr>
        <w:widowControl/>
        <w:jc w:val="center"/>
        <w:rPr>
          <w:rFonts w:ascii="仿宋" w:hAnsi="仿宋" w:eastAsia="仿宋" w:cs="宋体"/>
          <w:color w:val="C00000"/>
          <w:kern w:val="0"/>
          <w:sz w:val="24"/>
        </w:rPr>
      </w:pP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5、学校将根据教学计划及企业的生产计划，安排学生到企业参观，同时进行现场教学。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6、安排教师下企业实践、锻炼，并</w:t>
      </w:r>
      <w:r>
        <w:rPr>
          <w:rFonts w:hint="eastAsia" w:ascii="仿宋" w:hAnsi="仿宋" w:eastAsia="仿宋"/>
          <w:color w:val="000000" w:themeColor="text1"/>
          <w:sz w:val="32"/>
          <w:szCs w:val="32"/>
          <w14:textFill>
            <w14:solidFill>
              <w14:schemeClr w14:val="tx1"/>
            </w14:solidFill>
          </w14:textFill>
        </w:rPr>
        <w:t>聘请企业专家进课堂，定期召开教学研讨会，总结经验、扬长避短。</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7、学生</w:t>
      </w:r>
      <w:r>
        <w:rPr>
          <w:rFonts w:hint="eastAsia" w:ascii="仿宋" w:hAnsi="仿宋" w:eastAsia="仿宋" w:cs="宋体"/>
          <w:color w:val="000000" w:themeColor="text1"/>
          <w:sz w:val="32"/>
          <w:szCs w:val="28"/>
          <w14:textFill>
            <w14:solidFill>
              <w14:schemeClr w14:val="tx1"/>
            </w14:solidFill>
          </w14:textFill>
        </w:rPr>
        <w:t xml:space="preserve">顶岗实习，必须按企业制度进行严格的考核，学生就业时，也必须进行严格的笔试、面试、体检等。对于成绩特别优秀的学生，可以考虑有晋升机会时优先处理。 </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8、根据专业课程特点，聘请企业行业专家与学校教师共同组建“专业教学指导委员会”。</w:t>
      </w: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四、预期成效</w:t>
      </w: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（一）企业预期成效</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1、可以解决企业招工难的迫切问题。</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2、可以优先挑选录用顶岗实习中表现出色的学生，有利于提高员工素质，保障产品质量。</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3、联办企业可以利用学校教师的专业优势进行新产品的设计、包装、销售等，增加获利点。</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4、联办企业可以通过设立冠名班等方式，传播企业文化，提升企业品牌和无资产</w:t>
      </w: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（二）学校预期成效</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1、学生到企业参加实践教学，可以减少学校对实习实训设备的投入。</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2、企业中具有实践经验的专业实习指导教师的加入，有效的解决了学校对专业人才的需求。</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3、对学校的就业，产生一个品牌效应。</w:t>
      </w: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（三）个人预期成效</w:t>
      </w:r>
    </w:p>
    <w:p>
      <w:pPr>
        <w:ind w:firstLine="640" w:firstLineChars="200"/>
        <w:rPr>
          <w:rFonts w:ascii="仿宋" w:hAnsi="仿宋" w:eastAsia="仿宋" w:cs="宋体"/>
          <w:color w:val="000000" w:themeColor="text1"/>
          <w:sz w:val="32"/>
          <w:szCs w:val="28"/>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1、可以实现学与做的真正融合，不至于脱节，为今后的就业、创业打下了坚实的专业技能基础。</w:t>
      </w:r>
    </w:p>
    <w:p>
      <w:pPr>
        <w:ind w:firstLine="640" w:firstLineChars="200"/>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sz w:val="32"/>
          <w:szCs w:val="28"/>
          <w14:textFill>
            <w14:solidFill>
              <w14:schemeClr w14:val="tx1"/>
            </w14:solidFill>
          </w14:textFill>
        </w:rPr>
        <w:t>2、学生学以致用，与企业无缝对接，毕业即就业，避免了失业的可能。</w:t>
      </w:r>
    </w:p>
    <w:p>
      <w:pPr>
        <w:widowControl/>
        <w:spacing w:before="100" w:beforeAutospacing="1" w:after="100" w:afterAutospacing="1" w:line="555" w:lineRule="atLeast"/>
        <w:jc w:val="left"/>
        <w:rPr>
          <w:rFonts w:ascii="仿宋" w:hAnsi="仿宋" w:eastAsia="仿宋" w:cs="仿宋_GB2312"/>
          <w:b/>
          <w:bCs/>
          <w:color w:val="000000" w:themeColor="text1"/>
          <w:kern w:val="0"/>
          <w:sz w:val="36"/>
          <w:szCs w:val="36"/>
          <w14:textFill>
            <w14:solidFill>
              <w14:schemeClr w14:val="tx1"/>
            </w14:solidFill>
          </w14:textFill>
        </w:rPr>
      </w:pPr>
      <w:r>
        <w:rPr>
          <w:rFonts w:hint="eastAsia" w:ascii="仿宋" w:hAnsi="仿宋" w:eastAsia="仿宋" w:cs="仿宋_GB2312"/>
          <w:b/>
          <w:bCs/>
          <w:color w:val="000000" w:themeColor="text1"/>
          <w:kern w:val="0"/>
          <w:sz w:val="36"/>
          <w:szCs w:val="36"/>
          <w14:textFill>
            <w14:solidFill>
              <w14:schemeClr w14:val="tx1"/>
            </w14:solidFill>
          </w14:textFill>
        </w:rPr>
        <w:t>八、主要问题和改进措施</w:t>
      </w:r>
    </w:p>
    <w:p>
      <w:pPr>
        <w:pStyle w:val="6"/>
        <w:spacing w:before="0" w:beforeAutospacing="0" w:after="0" w:afterAutospacing="0" w:line="360" w:lineRule="auto"/>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（一）人才培养中存</w:t>
      </w:r>
      <w:r>
        <w:rPr>
          <w:rFonts w:ascii="仿宋" w:hAnsi="仿宋" w:eastAsia="仿宋"/>
          <w:b/>
          <w:color w:val="000000" w:themeColor="text1"/>
          <w:sz w:val="30"/>
          <w:szCs w:val="30"/>
          <w14:textFill>
            <w14:solidFill>
              <w14:schemeClr w14:val="tx1"/>
            </w14:solidFill>
          </w14:textFill>
        </w:rPr>
        <w:t>在问题</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1、没有构成有效专业群，没有形成专业特色品牌，对学生家长吸引力不够，招生难度大。</w:t>
      </w:r>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 xml:space="preserve">2、技能型教师仍有不足，缺少实习实训指导教师和专业课教师。 </w:t>
      </w:r>
    </w:p>
    <w:p>
      <w:pPr>
        <w:pStyle w:val="6"/>
        <w:spacing w:before="0" w:beforeAutospacing="0" w:after="0" w:afterAutospacing="0" w:line="360" w:lineRule="auto"/>
        <w:rPr>
          <w:rFonts w:ascii="仿宋" w:hAnsi="仿宋" w:eastAsia="仿宋"/>
          <w:b/>
          <w:bCs/>
          <w:color w:val="000000" w:themeColor="text1"/>
          <w:sz w:val="30"/>
          <w:szCs w:val="30"/>
          <w14:textFill>
            <w14:solidFill>
              <w14:schemeClr w14:val="tx1"/>
            </w14:solidFill>
          </w14:textFill>
        </w:rPr>
      </w:pPr>
      <w:bookmarkStart w:id="3" w:name="_Toc491878195"/>
      <w:bookmarkStart w:id="4" w:name="_Toc503174900"/>
      <w:r>
        <w:rPr>
          <w:rFonts w:hint="eastAsia" w:ascii="仿宋" w:hAnsi="仿宋" w:eastAsia="仿宋"/>
          <w:b/>
          <w:bCs/>
          <w:color w:val="000000" w:themeColor="text1"/>
          <w:sz w:val="30"/>
          <w:szCs w:val="30"/>
          <w14:textFill>
            <w14:solidFill>
              <w14:schemeClr w14:val="tx1"/>
            </w14:solidFill>
          </w14:textFill>
        </w:rPr>
        <w:t>（二）改进措施</w:t>
      </w:r>
      <w:bookmarkEnd w:id="3"/>
      <w:bookmarkEnd w:id="4"/>
    </w:p>
    <w:p>
      <w:pPr>
        <w:pStyle w:val="6"/>
        <w:spacing w:before="0" w:beforeAutospacing="0" w:after="0" w:afterAutospacing="0" w:line="360" w:lineRule="auto"/>
        <w:ind w:firstLine="640" w:firstLineChars="200"/>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1、加强宣传引导，构建良好氛围。通过开展为民服务、校园开放、职业教育政策法规宣传等活动。让社会、学生、家长更全面、更深入地解了我校。</w:t>
      </w:r>
    </w:p>
    <w:p>
      <w:pPr>
        <w:pStyle w:val="6"/>
        <w:spacing w:before="0" w:beforeAutospacing="0" w:after="0" w:afterAutospacing="0" w:line="360" w:lineRule="auto"/>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2、</w:t>
      </w:r>
      <w:r>
        <w:rPr>
          <w:rFonts w:ascii="仿宋" w:hAnsi="仿宋" w:eastAsia="仿宋" w:cstheme="minorBidi"/>
          <w:color w:val="000000" w:themeColor="text1"/>
          <w:kern w:val="2"/>
          <w:sz w:val="32"/>
          <w:szCs w:val="32"/>
          <w14:textFill>
            <w14:solidFill>
              <w14:schemeClr w14:val="tx1"/>
            </w14:solidFill>
          </w14:textFill>
        </w:rPr>
        <w:t>把握“双师型”教师的内涵</w:t>
      </w:r>
      <w:r>
        <w:rPr>
          <w:rFonts w:hint="eastAsia" w:ascii="仿宋" w:hAnsi="仿宋" w:eastAsia="仿宋" w:cstheme="minorBidi"/>
          <w:color w:val="000000" w:themeColor="text1"/>
          <w:kern w:val="2"/>
          <w:sz w:val="32"/>
          <w:szCs w:val="32"/>
          <w14:textFill>
            <w14:solidFill>
              <w14:schemeClr w14:val="tx1"/>
            </w14:solidFill>
          </w14:textFill>
        </w:rPr>
        <w:t>，加强师资队伍建设。通过对现有教师的培训，更新其职业教育理念，提升其业务水平；建立人才引进机制，吸引优秀的专业技能人才。</w:t>
      </w:r>
    </w:p>
    <w:p>
      <w:pPr>
        <w:ind w:firstLine="640" w:firstLineChars="200"/>
        <w:rPr>
          <w:rFonts w:ascii="仿宋" w:hAnsi="仿宋" w:eastAsia="仿宋"/>
          <w:color w:val="000000" w:themeColor="text1"/>
          <w:sz w:val="32"/>
          <w:szCs w:val="32"/>
          <w14:textFill>
            <w14:solidFill>
              <w14:schemeClr w14:val="tx1"/>
            </w14:solidFill>
          </w14:textFill>
        </w:rPr>
      </w:pPr>
    </w:p>
    <w:p>
      <w:pPr>
        <w:pStyle w:val="6"/>
        <w:rPr>
          <w:rFonts w:ascii="仿宋" w:hAnsi="仿宋" w:eastAsia="仿宋" w:cstheme="minorBidi"/>
          <w:color w:val="000000" w:themeColor="text1"/>
          <w:kern w:val="2"/>
          <w:sz w:val="32"/>
          <w:szCs w:val="32"/>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hQUM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sj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8ihQUMEBAACOAwAADgAAAAAAAAABACAAAAAeAQAAZHJzL2Uyb0RvYy54bWxQSwUG&#10;AAAAAAYABgBZAQAAU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C3ED7"/>
    <w:multiLevelType w:val="singleLevel"/>
    <w:tmpl w:val="E37C3ED7"/>
    <w:lvl w:ilvl="0" w:tentative="0">
      <w:start w:val="1"/>
      <w:numFmt w:val="chineseCounting"/>
      <w:suff w:val="nothing"/>
      <w:lvlText w:val="%1、"/>
      <w:lvlJc w:val="left"/>
      <w:rPr>
        <w:rFonts w:hint="eastAsia"/>
      </w:rPr>
    </w:lvl>
  </w:abstractNum>
  <w:abstractNum w:abstractNumId="1">
    <w:nsid w:val="1B966E7C"/>
    <w:multiLevelType w:val="multilevel"/>
    <w:tmpl w:val="1B966E7C"/>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790EF1"/>
    <w:multiLevelType w:val="multilevel"/>
    <w:tmpl w:val="39790EF1"/>
    <w:lvl w:ilvl="0" w:tentative="0">
      <w:start w:val="2"/>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ED"/>
    <w:rsid w:val="000E02C8"/>
    <w:rsid w:val="001E03D9"/>
    <w:rsid w:val="00362EBB"/>
    <w:rsid w:val="00630FDA"/>
    <w:rsid w:val="00703AE9"/>
    <w:rsid w:val="007C2828"/>
    <w:rsid w:val="00814DED"/>
    <w:rsid w:val="00833080"/>
    <w:rsid w:val="008D3A1D"/>
    <w:rsid w:val="00A3608F"/>
    <w:rsid w:val="00B224DB"/>
    <w:rsid w:val="00ED5EF7"/>
    <w:rsid w:val="023248EC"/>
    <w:rsid w:val="02A33E3D"/>
    <w:rsid w:val="04765D07"/>
    <w:rsid w:val="057E3E54"/>
    <w:rsid w:val="06447774"/>
    <w:rsid w:val="09B22A1F"/>
    <w:rsid w:val="0CDF2D7A"/>
    <w:rsid w:val="0F87568B"/>
    <w:rsid w:val="100A7866"/>
    <w:rsid w:val="10B963FE"/>
    <w:rsid w:val="140E2322"/>
    <w:rsid w:val="140E381A"/>
    <w:rsid w:val="18606326"/>
    <w:rsid w:val="18BD09EF"/>
    <w:rsid w:val="1CA378BB"/>
    <w:rsid w:val="1CBB5BB3"/>
    <w:rsid w:val="1D241D49"/>
    <w:rsid w:val="1EE87632"/>
    <w:rsid w:val="210A2E5C"/>
    <w:rsid w:val="2159145F"/>
    <w:rsid w:val="22B85881"/>
    <w:rsid w:val="26767AAE"/>
    <w:rsid w:val="277A0BDE"/>
    <w:rsid w:val="28F26C27"/>
    <w:rsid w:val="29545378"/>
    <w:rsid w:val="2A7518BD"/>
    <w:rsid w:val="2BD91ED3"/>
    <w:rsid w:val="2E04016F"/>
    <w:rsid w:val="2F4D2769"/>
    <w:rsid w:val="30E97A08"/>
    <w:rsid w:val="3466157E"/>
    <w:rsid w:val="363B0058"/>
    <w:rsid w:val="374B2C9F"/>
    <w:rsid w:val="37705DEE"/>
    <w:rsid w:val="37C47FF8"/>
    <w:rsid w:val="396C68B9"/>
    <w:rsid w:val="3A1922D9"/>
    <w:rsid w:val="3C005F02"/>
    <w:rsid w:val="3DCE4041"/>
    <w:rsid w:val="3F352A29"/>
    <w:rsid w:val="4153050A"/>
    <w:rsid w:val="4222007C"/>
    <w:rsid w:val="432D3A2B"/>
    <w:rsid w:val="437B0FC3"/>
    <w:rsid w:val="46B223C4"/>
    <w:rsid w:val="46BB15C7"/>
    <w:rsid w:val="476A6E5E"/>
    <w:rsid w:val="486270A0"/>
    <w:rsid w:val="498C798D"/>
    <w:rsid w:val="4B810E53"/>
    <w:rsid w:val="4C2E57E4"/>
    <w:rsid w:val="50127FF3"/>
    <w:rsid w:val="56A60CD6"/>
    <w:rsid w:val="584B5EA4"/>
    <w:rsid w:val="589A65CB"/>
    <w:rsid w:val="5A6741EC"/>
    <w:rsid w:val="5AAD10A0"/>
    <w:rsid w:val="5AEA5304"/>
    <w:rsid w:val="5C1130D6"/>
    <w:rsid w:val="5D837AFD"/>
    <w:rsid w:val="5E641370"/>
    <w:rsid w:val="6146235D"/>
    <w:rsid w:val="62D43136"/>
    <w:rsid w:val="64AF7C1C"/>
    <w:rsid w:val="657D3EC4"/>
    <w:rsid w:val="66C93503"/>
    <w:rsid w:val="69B66CF5"/>
    <w:rsid w:val="69ED1B87"/>
    <w:rsid w:val="6D2C414E"/>
    <w:rsid w:val="6E1D6D46"/>
    <w:rsid w:val="6E24291A"/>
    <w:rsid w:val="6E836897"/>
    <w:rsid w:val="6FC759D6"/>
    <w:rsid w:val="70DA1ED2"/>
    <w:rsid w:val="71514D66"/>
    <w:rsid w:val="71AF508A"/>
    <w:rsid w:val="72A53221"/>
    <w:rsid w:val="73EA2E90"/>
    <w:rsid w:val="74223755"/>
    <w:rsid w:val="747E4659"/>
    <w:rsid w:val="74D56542"/>
    <w:rsid w:val="74EC2BD0"/>
    <w:rsid w:val="756E4F24"/>
    <w:rsid w:val="78CC4187"/>
    <w:rsid w:val="78D97266"/>
    <w:rsid w:val="7A583958"/>
    <w:rsid w:val="7E2E5D96"/>
    <w:rsid w:val="7ED2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2B2B2B"/>
      <w:u w:val="none"/>
    </w:rPr>
  </w:style>
  <w:style w:type="paragraph" w:styleId="11">
    <w:name w:val="List Paragraph"/>
    <w:basedOn w:val="1"/>
    <w:qFormat/>
    <w:uiPriority w:val="34"/>
    <w:pPr>
      <w:ind w:firstLine="420" w:firstLineChars="200"/>
    </w:pPr>
  </w:style>
  <w:style w:type="character" w:customStyle="1" w:styleId="12">
    <w:name w:val="批注框文本 Char"/>
    <w:basedOn w:val="9"/>
    <w:link w:val="3"/>
    <w:semiHidden/>
    <w:qFormat/>
    <w:uiPriority w:val="99"/>
    <w:rPr>
      <w:sz w:val="18"/>
      <w:szCs w:val="18"/>
    </w:rPr>
  </w:style>
  <w:style w:type="character" w:customStyle="1" w:styleId="13">
    <w:name w:val="标题 2 Char"/>
    <w:basedOn w:val="9"/>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emf"/><Relationship Id="rId13" Type="http://schemas.openxmlformats.org/officeDocument/2006/relationships/image" Target="media/image1.png"/><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学生规模对照图</a:t>
            </a:r>
            <a:endParaRPr lang="zh-CN" altLang="en-US"/>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2018</c:v>
                </c:pt>
              </c:strCache>
            </c:strRef>
          </c:tx>
          <c:spPr>
            <a:solidFill>
              <a:schemeClr val="accent1"/>
            </a:solidFill>
            <a:ln>
              <a:noFill/>
            </a:ln>
            <a:effectLst/>
          </c:spPr>
          <c:invertIfNegative val="0"/>
          <c:dLbls>
            <c:delete val="1"/>
          </c:dLbls>
          <c:cat>
            <c:strRef>
              <c:f>[工作簿1]Sheet1!$B$1:$C$1</c:f>
              <c:strCache>
                <c:ptCount val="2"/>
                <c:pt idx="0">
                  <c:v>在校人数</c:v>
                </c:pt>
                <c:pt idx="1">
                  <c:v>招收新生</c:v>
                </c:pt>
              </c:strCache>
            </c:strRef>
          </c:cat>
          <c:val>
            <c:numRef>
              <c:f>[工作簿1]Sheet1!$B$2:$C$2</c:f>
              <c:numCache>
                <c:formatCode>General</c:formatCode>
                <c:ptCount val="2"/>
                <c:pt idx="0">
                  <c:v>2063</c:v>
                </c:pt>
                <c:pt idx="1">
                  <c:v>1098</c:v>
                </c:pt>
              </c:numCache>
            </c:numRef>
          </c:val>
        </c:ser>
        <c:ser>
          <c:idx val="1"/>
          <c:order val="1"/>
          <c:tx>
            <c:strRef>
              <c:f>[工作簿1]Sheet1!$A$3</c:f>
              <c:strCache>
                <c:ptCount val="1"/>
                <c:pt idx="0">
                  <c:v>2019</c:v>
                </c:pt>
              </c:strCache>
            </c:strRef>
          </c:tx>
          <c:spPr>
            <a:solidFill>
              <a:schemeClr val="accent2"/>
            </a:solidFill>
            <a:ln>
              <a:noFill/>
            </a:ln>
            <a:effectLst/>
          </c:spPr>
          <c:invertIfNegative val="0"/>
          <c:dLbls>
            <c:delete val="1"/>
          </c:dLbls>
          <c:cat>
            <c:strRef>
              <c:f>[工作簿1]Sheet1!$B$1:$C$1</c:f>
              <c:strCache>
                <c:ptCount val="2"/>
                <c:pt idx="0">
                  <c:v>在校人数</c:v>
                </c:pt>
                <c:pt idx="1">
                  <c:v>招收新生</c:v>
                </c:pt>
              </c:strCache>
            </c:strRef>
          </c:cat>
          <c:val>
            <c:numRef>
              <c:f>[工作簿1]Sheet1!$B$3:$C$3</c:f>
              <c:numCache>
                <c:formatCode>General</c:formatCode>
                <c:ptCount val="2"/>
                <c:pt idx="0">
                  <c:v>3960</c:v>
                </c:pt>
                <c:pt idx="1">
                  <c:v>1970</c:v>
                </c:pt>
              </c:numCache>
            </c:numRef>
          </c:val>
        </c:ser>
        <c:dLbls>
          <c:showLegendKey val="0"/>
          <c:showVal val="0"/>
          <c:showCatName val="0"/>
          <c:showSerName val="0"/>
          <c:showPercent val="0"/>
          <c:showBubbleSize val="0"/>
        </c:dLbls>
        <c:gapWidth val="219"/>
        <c:overlap val="-27"/>
        <c:axId val="339995264"/>
        <c:axId val="342824064"/>
      </c:barChart>
      <c:catAx>
        <c:axId val="3399952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824064"/>
        <c:crosses val="autoZero"/>
        <c:auto val="1"/>
        <c:lblAlgn val="ctr"/>
        <c:lblOffset val="100"/>
        <c:noMultiLvlLbl val="0"/>
      </c:catAx>
      <c:valAx>
        <c:axId val="3428240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99952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学生情况与上年度相比变化</a:t>
            </a:r>
            <a:endParaRPr lang="zh-CN" altLang="en-US"/>
          </a:p>
        </c:rich>
      </c:tx>
      <c:layout/>
      <c:overlay val="0"/>
      <c:spPr>
        <a:noFill/>
        <a:ln>
          <a:noFill/>
        </a:ln>
        <a:effectLst/>
      </c:spPr>
    </c:title>
    <c:autoTitleDeleted val="0"/>
    <c:plotArea>
      <c:layout/>
      <c:barChart>
        <c:barDir val="col"/>
        <c:grouping val="clustered"/>
        <c:varyColors val="0"/>
        <c:ser>
          <c:idx val="0"/>
          <c:order val="0"/>
          <c:tx>
            <c:strRef>
              <c:f>[工作簿1]Sheet1!$A$6</c:f>
              <c:strCache>
                <c:ptCount val="1"/>
                <c:pt idx="0">
                  <c:v>2018</c:v>
                </c:pt>
              </c:strCache>
            </c:strRef>
          </c:tx>
          <c:spPr>
            <a:solidFill>
              <a:schemeClr val="accent1"/>
            </a:solidFill>
            <a:ln>
              <a:noFill/>
            </a:ln>
            <a:effectLst/>
          </c:spPr>
          <c:invertIfNegative val="0"/>
          <c:dLbls>
            <c:delete val="1"/>
          </c:dLbls>
          <c:cat>
            <c:strRef>
              <c:f>[工作簿1]Sheet1!$B$5:$E$5</c:f>
              <c:strCache>
                <c:ptCount val="4"/>
                <c:pt idx="0">
                  <c:v>入校人数</c:v>
                </c:pt>
                <c:pt idx="1">
                  <c:v>就业人数</c:v>
                </c:pt>
                <c:pt idx="2">
                  <c:v>毕业人数</c:v>
                </c:pt>
                <c:pt idx="3">
                  <c:v>职业资格证考证人数</c:v>
                </c:pt>
              </c:strCache>
            </c:strRef>
          </c:cat>
          <c:val>
            <c:numRef>
              <c:f>[工作簿1]Sheet1!$B$6:$E$6</c:f>
              <c:numCache>
                <c:formatCode>General</c:formatCode>
                <c:ptCount val="4"/>
                <c:pt idx="0">
                  <c:v>1098</c:v>
                </c:pt>
                <c:pt idx="1">
                  <c:v>775</c:v>
                </c:pt>
                <c:pt idx="2">
                  <c:v>789</c:v>
                </c:pt>
                <c:pt idx="3">
                  <c:v>610</c:v>
                </c:pt>
              </c:numCache>
            </c:numRef>
          </c:val>
        </c:ser>
        <c:ser>
          <c:idx val="1"/>
          <c:order val="1"/>
          <c:tx>
            <c:strRef>
              <c:f>[工作簿1]Sheet1!$A$7</c:f>
              <c:strCache>
                <c:ptCount val="1"/>
                <c:pt idx="0">
                  <c:v>2019</c:v>
                </c:pt>
              </c:strCache>
            </c:strRef>
          </c:tx>
          <c:spPr>
            <a:solidFill>
              <a:schemeClr val="accent2"/>
            </a:solidFill>
            <a:ln>
              <a:noFill/>
            </a:ln>
            <a:effectLst/>
          </c:spPr>
          <c:invertIfNegative val="0"/>
          <c:dLbls>
            <c:delete val="1"/>
          </c:dLbls>
          <c:cat>
            <c:strRef>
              <c:f>[工作簿1]Sheet1!$B$5:$E$5</c:f>
              <c:strCache>
                <c:ptCount val="4"/>
                <c:pt idx="0">
                  <c:v>入校人数</c:v>
                </c:pt>
                <c:pt idx="1">
                  <c:v>就业人数</c:v>
                </c:pt>
                <c:pt idx="2">
                  <c:v>毕业人数</c:v>
                </c:pt>
                <c:pt idx="3">
                  <c:v>职业资格证考证人数</c:v>
                </c:pt>
              </c:strCache>
            </c:strRef>
          </c:cat>
          <c:val>
            <c:numRef>
              <c:f>[工作簿1]Sheet1!$B$7:$E$7</c:f>
              <c:numCache>
                <c:formatCode>General</c:formatCode>
                <c:ptCount val="4"/>
                <c:pt idx="0">
                  <c:v>1970</c:v>
                </c:pt>
                <c:pt idx="1">
                  <c:v>489</c:v>
                </c:pt>
                <c:pt idx="2">
                  <c:v>500</c:v>
                </c:pt>
                <c:pt idx="3">
                  <c:v>492</c:v>
                </c:pt>
              </c:numCache>
            </c:numRef>
          </c:val>
        </c:ser>
        <c:dLbls>
          <c:showLegendKey val="0"/>
          <c:showVal val="0"/>
          <c:showCatName val="0"/>
          <c:showSerName val="0"/>
          <c:showPercent val="0"/>
          <c:showBubbleSize val="0"/>
        </c:dLbls>
        <c:gapWidth val="219"/>
        <c:overlap val="-27"/>
        <c:axId val="136453120"/>
        <c:axId val="136467200"/>
      </c:barChart>
      <c:catAx>
        <c:axId val="1364531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467200"/>
        <c:crosses val="autoZero"/>
        <c:auto val="1"/>
        <c:lblAlgn val="ctr"/>
        <c:lblOffset val="100"/>
        <c:noMultiLvlLbl val="0"/>
      </c:catAx>
      <c:valAx>
        <c:axId val="136467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4531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年度设备总价值（万元）</a:t>
            </a:r>
            <a:endParaRPr lang="zh-CN" altLang="en-US"/>
          </a:p>
        </c:rich>
      </c:tx>
      <c:layout/>
      <c:overlay val="0"/>
    </c:title>
    <c:autoTitleDeleted val="0"/>
    <c:plotArea>
      <c:layout>
        <c:manualLayout>
          <c:layoutTarget val="inner"/>
          <c:xMode val="edge"/>
          <c:yMode val="edge"/>
          <c:x val="0.134977875058037"/>
          <c:y val="0.109401526047634"/>
          <c:w val="0.515474572898604"/>
          <c:h val="0.767392636291981"/>
        </c:manualLayout>
      </c:layout>
      <c:barChart>
        <c:barDir val="col"/>
        <c:grouping val="clustered"/>
        <c:varyColors val="0"/>
        <c:ser>
          <c:idx val="0"/>
          <c:order val="0"/>
          <c:tx>
            <c:strRef>
              <c:f>Sheet1!$B$1</c:f>
              <c:strCache>
                <c:ptCount val="1"/>
                <c:pt idx="0">
                  <c:v>2017年设备总价值</c:v>
                </c:pt>
              </c:strCache>
            </c:strRef>
          </c:tx>
          <c:spPr>
            <a:solidFill>
              <a:srgbClr val="FF0000"/>
            </a:solidFill>
          </c:spPr>
          <c:invertIfNegative val="0"/>
          <c:dPt>
            <c:idx val="0"/>
            <c:invertIfNegative val="0"/>
            <c:bubble3D val="0"/>
            <c:spPr>
              <a:solidFill>
                <a:srgbClr val="00B0F0"/>
              </a:solidFill>
            </c:spPr>
          </c:dPt>
          <c:dLbls>
            <c:delete val="1"/>
          </c:dLbls>
          <c:cat>
            <c:numRef>
              <c:f>Sheet1!$A$2:$A$5</c:f>
              <c:numCache>
                <c:formatCode>General</c:formatCode>
                <c:ptCount val="4"/>
                <c:pt idx="0">
                  <c:v>2018</c:v>
                </c:pt>
                <c:pt idx="1">
                  <c:v>2019</c:v>
                </c:pt>
              </c:numCache>
            </c:numRef>
          </c:cat>
          <c:val>
            <c:numRef>
              <c:f>Sheet1!$B$2:$B$5</c:f>
              <c:numCache>
                <c:formatCode>General</c:formatCode>
                <c:ptCount val="4"/>
                <c:pt idx="0">
                  <c:v>1313.9</c:v>
                </c:pt>
                <c:pt idx="1">
                  <c:v>1583.9</c:v>
                </c:pt>
              </c:numCache>
            </c:numRef>
          </c:val>
        </c:ser>
        <c:dLbls>
          <c:showLegendKey val="0"/>
          <c:showVal val="0"/>
          <c:showCatName val="0"/>
          <c:showSerName val="0"/>
          <c:showPercent val="0"/>
          <c:showBubbleSize val="0"/>
        </c:dLbls>
        <c:gapWidth val="150"/>
        <c:axId val="136479872"/>
        <c:axId val="136481408"/>
      </c:barChart>
      <c:catAx>
        <c:axId val="1364798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481408"/>
        <c:crosses val="autoZero"/>
        <c:auto val="1"/>
        <c:lblAlgn val="ctr"/>
        <c:lblOffset val="100"/>
        <c:noMultiLvlLbl val="0"/>
      </c:catAx>
      <c:valAx>
        <c:axId val="136481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4798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年度生均设备价值（元）</a:t>
            </a:r>
            <a:endParaRPr lang="zh-CN" altLang="en-US"/>
          </a:p>
        </c:rich>
      </c:tx>
      <c:layout/>
      <c:overlay val="0"/>
    </c:title>
    <c:autoTitleDeleted val="0"/>
    <c:plotArea>
      <c:layout/>
      <c:barChart>
        <c:barDir val="col"/>
        <c:grouping val="clustered"/>
        <c:varyColors val="0"/>
        <c:ser>
          <c:idx val="0"/>
          <c:order val="0"/>
          <c:tx>
            <c:strRef>
              <c:f>Sheet1!$B$1</c:f>
              <c:strCache>
                <c:ptCount val="1"/>
                <c:pt idx="0">
                  <c:v>2019年度生均工位数</c:v>
                </c:pt>
              </c:strCache>
            </c:strRef>
          </c:tx>
          <c:invertIfNegative val="0"/>
          <c:dPt>
            <c:idx val="1"/>
            <c:invertIfNegative val="0"/>
            <c:bubble3D val="0"/>
            <c:spPr>
              <a:solidFill>
                <a:srgbClr val="FF0000"/>
              </a:solidFill>
            </c:spPr>
          </c:dPt>
          <c:dLbls>
            <c:delete val="1"/>
          </c:dLbls>
          <c:cat>
            <c:numRef>
              <c:f>Sheet1!$A$2:$A$5</c:f>
              <c:numCache>
                <c:formatCode>General</c:formatCode>
                <c:ptCount val="4"/>
                <c:pt idx="0">
                  <c:v>2018</c:v>
                </c:pt>
                <c:pt idx="1">
                  <c:v>2019</c:v>
                </c:pt>
              </c:numCache>
            </c:numRef>
          </c:cat>
          <c:val>
            <c:numRef>
              <c:f>Sheet1!$B$2:$B$5</c:f>
              <c:numCache>
                <c:formatCode>General</c:formatCode>
                <c:ptCount val="4"/>
                <c:pt idx="0">
                  <c:v>6368.9</c:v>
                </c:pt>
                <c:pt idx="1">
                  <c:v>5045.9</c:v>
                </c:pt>
              </c:numCache>
            </c:numRef>
          </c:val>
        </c:ser>
        <c:dLbls>
          <c:showLegendKey val="0"/>
          <c:showVal val="0"/>
          <c:showCatName val="0"/>
          <c:showSerName val="0"/>
          <c:showPercent val="0"/>
          <c:showBubbleSize val="0"/>
        </c:dLbls>
        <c:gapWidth val="150"/>
        <c:axId val="136583808"/>
        <c:axId val="136606080"/>
      </c:barChart>
      <c:catAx>
        <c:axId val="1365838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606080"/>
        <c:crosses val="autoZero"/>
        <c:auto val="1"/>
        <c:lblAlgn val="ctr"/>
        <c:lblOffset val="100"/>
        <c:noMultiLvlLbl val="0"/>
      </c:catAx>
      <c:valAx>
        <c:axId val="136606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5838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年度工位数（个）</a:t>
            </a:r>
            <a:endParaRPr lang="zh-CN" altLang="en-US"/>
          </a:p>
        </c:rich>
      </c:tx>
      <c:layout/>
      <c:overlay val="0"/>
    </c:title>
    <c:autoTitleDeleted val="0"/>
    <c:plotArea>
      <c:layout/>
      <c:barChart>
        <c:barDir val="col"/>
        <c:grouping val="stacked"/>
        <c:varyColors val="0"/>
        <c:ser>
          <c:idx val="0"/>
          <c:order val="0"/>
          <c:tx>
            <c:strRef>
              <c:f>Sheet1!$B$1</c:f>
              <c:strCache>
                <c:ptCount val="1"/>
                <c:pt idx="0">
                  <c:v>2019年度生均工位数</c:v>
                </c:pt>
              </c:strCache>
            </c:strRef>
          </c:tx>
          <c:invertIfNegative val="0"/>
          <c:dPt>
            <c:idx val="1"/>
            <c:invertIfNegative val="0"/>
            <c:bubble3D val="0"/>
            <c:spPr>
              <a:solidFill>
                <a:srgbClr val="FF0000"/>
              </a:solidFill>
            </c:spPr>
          </c:dPt>
          <c:dLbls>
            <c:delete val="1"/>
          </c:dLbls>
          <c:cat>
            <c:numRef>
              <c:f>Sheet1!$A$2:$A$5</c:f>
              <c:numCache>
                <c:formatCode>General</c:formatCode>
                <c:ptCount val="4"/>
                <c:pt idx="0">
                  <c:v>2018</c:v>
                </c:pt>
                <c:pt idx="1">
                  <c:v>2019</c:v>
                </c:pt>
              </c:numCache>
            </c:numRef>
          </c:cat>
          <c:val>
            <c:numRef>
              <c:f>Sheet1!$B$2:$B$5</c:f>
              <c:numCache>
                <c:formatCode>General</c:formatCode>
                <c:ptCount val="4"/>
                <c:pt idx="0">
                  <c:v>1022</c:v>
                </c:pt>
                <c:pt idx="1">
                  <c:v>1122</c:v>
                </c:pt>
              </c:numCache>
            </c:numRef>
          </c:val>
        </c:ser>
        <c:ser>
          <c:idx val="1"/>
          <c:order val="1"/>
          <c:tx>
            <c:strRef>
              <c:f>Sheet1!$C$1</c:f>
              <c:strCache>
                <c:ptCount val="1"/>
                <c:pt idx="0">
                  <c:v>2018年纸质图书</c:v>
                </c:pt>
              </c:strCache>
            </c:strRef>
          </c:tx>
          <c:invertIfNegative val="0"/>
          <c:dLbls>
            <c:delete val="1"/>
          </c:dLbls>
          <c:cat>
            <c:numRef>
              <c:f>Sheet1!$A$2:$A$5</c:f>
              <c:numCache>
                <c:formatCode>General</c:formatCode>
                <c:ptCount val="4"/>
                <c:pt idx="0">
                  <c:v>2018</c:v>
                </c:pt>
                <c:pt idx="1">
                  <c:v>2019</c:v>
                </c:pt>
              </c:numCache>
            </c:numRef>
          </c:cat>
          <c:val>
            <c:numRef>
              <c:f>Sheet1!$C$2:$C$5</c:f>
              <c:numCache>
                <c:formatCode>General</c:formatCode>
                <c:ptCount val="4"/>
              </c:numCache>
            </c:numRef>
          </c:val>
        </c:ser>
        <c:dLbls>
          <c:showLegendKey val="0"/>
          <c:showVal val="0"/>
          <c:showCatName val="0"/>
          <c:showSerName val="0"/>
          <c:showPercent val="0"/>
          <c:showBubbleSize val="0"/>
        </c:dLbls>
        <c:gapWidth val="150"/>
        <c:overlap val="100"/>
        <c:axId val="136635520"/>
        <c:axId val="136637056"/>
      </c:barChart>
      <c:catAx>
        <c:axId val="1366355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637056"/>
        <c:crosses val="autoZero"/>
        <c:auto val="1"/>
        <c:lblAlgn val="ctr"/>
        <c:lblOffset val="100"/>
        <c:noMultiLvlLbl val="0"/>
      </c:catAx>
      <c:valAx>
        <c:axId val="1366370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66355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2019</a:t>
            </a:r>
            <a:r>
              <a:rPr lang="zh-CN" altLang="en-US"/>
              <a:t>年纸质图书（册）</a:t>
            </a:r>
            <a:endParaRPr lang="zh-CN" altLang="en-US"/>
          </a:p>
        </c:rich>
      </c:tx>
      <c:layout/>
      <c:overlay val="0"/>
    </c:title>
    <c:autoTitleDeleted val="0"/>
    <c:plotArea>
      <c:layout>
        <c:manualLayout>
          <c:layoutTarget val="inner"/>
          <c:xMode val="edge"/>
          <c:yMode val="edge"/>
          <c:x val="0.0869931872234382"/>
          <c:y val="0.146553228834012"/>
          <c:w val="0.87454674663862"/>
          <c:h val="0.717010636828291"/>
        </c:manualLayout>
      </c:layout>
      <c:barChart>
        <c:barDir val="col"/>
        <c:grouping val="stacked"/>
        <c:varyColors val="0"/>
        <c:ser>
          <c:idx val="0"/>
          <c:order val="0"/>
          <c:tx>
            <c:strRef>
              <c:f>Sheet1!$B$1</c:f>
              <c:strCache>
                <c:ptCount val="1"/>
                <c:pt idx="0">
                  <c:v>2017年纸质图书（册）</c:v>
                </c:pt>
              </c:strCache>
            </c:strRef>
          </c:tx>
          <c:invertIfNegative val="0"/>
          <c:dPt>
            <c:idx val="1"/>
            <c:invertIfNegative val="0"/>
            <c:bubble3D val="0"/>
            <c:spPr>
              <a:solidFill>
                <a:srgbClr val="FF0000"/>
              </a:solidFill>
            </c:spPr>
          </c:dPt>
          <c:dLbls>
            <c:delete val="1"/>
          </c:dLbls>
          <c:cat>
            <c:numRef>
              <c:f>Sheet1!$A$2:$A$5</c:f>
              <c:numCache>
                <c:formatCode>General</c:formatCode>
                <c:ptCount val="4"/>
                <c:pt idx="0">
                  <c:v>2018</c:v>
                </c:pt>
                <c:pt idx="1">
                  <c:v>2019</c:v>
                </c:pt>
              </c:numCache>
            </c:numRef>
          </c:cat>
          <c:val>
            <c:numRef>
              <c:f>Sheet1!$B$2:$B$5</c:f>
              <c:numCache>
                <c:formatCode>General</c:formatCode>
                <c:ptCount val="4"/>
                <c:pt idx="0">
                  <c:v>23077</c:v>
                </c:pt>
                <c:pt idx="1">
                  <c:v>73077</c:v>
                </c:pt>
              </c:numCache>
            </c:numRef>
          </c:val>
        </c:ser>
        <c:dLbls>
          <c:showLegendKey val="0"/>
          <c:showVal val="0"/>
          <c:showCatName val="0"/>
          <c:showSerName val="0"/>
          <c:showPercent val="0"/>
          <c:showBubbleSize val="0"/>
        </c:dLbls>
        <c:gapWidth val="150"/>
        <c:overlap val="100"/>
        <c:axId val="262691456"/>
        <c:axId val="262693248"/>
      </c:barChart>
      <c:catAx>
        <c:axId val="2626914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2693248"/>
        <c:crosses val="autoZero"/>
        <c:auto val="1"/>
        <c:lblAlgn val="ctr"/>
        <c:lblOffset val="100"/>
        <c:noMultiLvlLbl val="0"/>
      </c:catAx>
      <c:valAx>
        <c:axId val="262693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26914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学生素质情况对比图</a:t>
            </a:r>
            <a:endParaRPr lang="zh-CN" altLang="en-US"/>
          </a:p>
        </c:rich>
      </c:tx>
      <c:layout/>
      <c:overlay val="0"/>
      <c:spPr>
        <a:noFill/>
        <a:ln>
          <a:noFill/>
        </a:ln>
        <a:effectLst/>
      </c:spPr>
    </c:title>
    <c:autoTitleDeleted val="0"/>
    <c:plotArea>
      <c:layout>
        <c:manualLayout>
          <c:layoutTarget val="inner"/>
          <c:xMode val="edge"/>
          <c:yMode val="edge"/>
          <c:x val="0.0927222222222222"/>
          <c:y val="0.169444444444444"/>
          <c:w val="0.876722222222222"/>
          <c:h val="0.379259259259259"/>
        </c:manualLayout>
      </c:layout>
      <c:barChart>
        <c:barDir val="col"/>
        <c:grouping val="clustered"/>
        <c:varyColors val="0"/>
        <c:ser>
          <c:idx val="0"/>
          <c:order val="0"/>
          <c:tx>
            <c:strRef>
              <c:f>[工作簿1]Sheet1!$A$10</c:f>
              <c:strCache>
                <c:ptCount val="1"/>
                <c:pt idx="0">
                  <c:v>2018</c:v>
                </c:pt>
              </c:strCache>
            </c:strRef>
          </c:tx>
          <c:spPr>
            <a:solidFill>
              <a:schemeClr val="accent1"/>
            </a:solidFill>
            <a:ln>
              <a:noFill/>
            </a:ln>
            <a:effectLst/>
          </c:spPr>
          <c:invertIfNegative val="0"/>
          <c:dLbls>
            <c:delete val="1"/>
          </c:dLbls>
          <c:cat>
            <c:strRef>
              <c:f>[工作簿1]Sheet1!$B$9:$F$9</c:f>
              <c:strCache>
                <c:ptCount val="5"/>
                <c:pt idx="0">
                  <c:v>文化课合格率</c:v>
                </c:pt>
                <c:pt idx="1">
                  <c:v>体质测评合格率</c:v>
                </c:pt>
                <c:pt idx="2">
                  <c:v>专业技能合格率</c:v>
                </c:pt>
                <c:pt idx="3">
                  <c:v>职业资格证考证率</c:v>
                </c:pt>
                <c:pt idx="4">
                  <c:v>一次性毕业率</c:v>
                </c:pt>
              </c:strCache>
            </c:strRef>
          </c:cat>
          <c:val>
            <c:numRef>
              <c:f>[工作簿1]Sheet1!$B$10:$F$10</c:f>
              <c:numCache>
                <c:formatCode>0%</c:formatCode>
                <c:ptCount val="5"/>
                <c:pt idx="0">
                  <c:v>0.93</c:v>
                </c:pt>
                <c:pt idx="1">
                  <c:v>0.98</c:v>
                </c:pt>
                <c:pt idx="2">
                  <c:v>0.82</c:v>
                </c:pt>
                <c:pt idx="3">
                  <c:v>0.77</c:v>
                </c:pt>
                <c:pt idx="4">
                  <c:v>0.95</c:v>
                </c:pt>
              </c:numCache>
            </c:numRef>
          </c:val>
        </c:ser>
        <c:ser>
          <c:idx val="1"/>
          <c:order val="1"/>
          <c:tx>
            <c:strRef>
              <c:f>[工作簿1]Sheet1!$A$11</c:f>
              <c:strCache>
                <c:ptCount val="1"/>
                <c:pt idx="0">
                  <c:v>2019</c:v>
                </c:pt>
              </c:strCache>
            </c:strRef>
          </c:tx>
          <c:spPr>
            <a:solidFill>
              <a:schemeClr val="accent2"/>
            </a:solidFill>
            <a:ln>
              <a:noFill/>
            </a:ln>
            <a:effectLst/>
          </c:spPr>
          <c:invertIfNegative val="0"/>
          <c:dLbls>
            <c:delete val="1"/>
          </c:dLbls>
          <c:cat>
            <c:strRef>
              <c:f>[工作簿1]Sheet1!$B$9:$F$9</c:f>
              <c:strCache>
                <c:ptCount val="5"/>
                <c:pt idx="0">
                  <c:v>文化课合格率</c:v>
                </c:pt>
                <c:pt idx="1">
                  <c:v>体质测评合格率</c:v>
                </c:pt>
                <c:pt idx="2">
                  <c:v>专业技能合格率</c:v>
                </c:pt>
                <c:pt idx="3">
                  <c:v>职业资格证考证率</c:v>
                </c:pt>
                <c:pt idx="4">
                  <c:v>一次性毕业率</c:v>
                </c:pt>
              </c:strCache>
            </c:strRef>
          </c:cat>
          <c:val>
            <c:numRef>
              <c:f>[工作簿1]Sheet1!$B$11:$F$11</c:f>
              <c:numCache>
                <c:formatCode>0%</c:formatCode>
                <c:ptCount val="5"/>
                <c:pt idx="0">
                  <c:v>0.93</c:v>
                </c:pt>
                <c:pt idx="1">
                  <c:v>0.98</c:v>
                </c:pt>
                <c:pt idx="2">
                  <c:v>0.84</c:v>
                </c:pt>
                <c:pt idx="3">
                  <c:v>0.83</c:v>
                </c:pt>
                <c:pt idx="4">
                  <c:v>0.94</c:v>
                </c:pt>
              </c:numCache>
            </c:numRef>
          </c:val>
        </c:ser>
        <c:dLbls>
          <c:showLegendKey val="0"/>
          <c:showVal val="0"/>
          <c:showCatName val="0"/>
          <c:showSerName val="0"/>
          <c:showPercent val="0"/>
          <c:showBubbleSize val="0"/>
        </c:dLbls>
        <c:gapWidth val="219"/>
        <c:overlap val="-27"/>
        <c:axId val="262730496"/>
        <c:axId val="262732032"/>
      </c:barChart>
      <c:catAx>
        <c:axId val="262730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732032"/>
        <c:crosses val="autoZero"/>
        <c:auto val="1"/>
        <c:lblAlgn val="ctr"/>
        <c:lblOffset val="100"/>
        <c:noMultiLvlLbl val="0"/>
      </c:catAx>
      <c:valAx>
        <c:axId val="26273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730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问卷调查满意度情况对比</a:t>
            </a:r>
            <a:endParaRPr lang="zh-CN" altLang="en-US"/>
          </a:p>
        </c:rich>
      </c:tx>
      <c:layout/>
      <c:overlay val="0"/>
      <c:spPr>
        <a:noFill/>
        <a:ln>
          <a:noFill/>
        </a:ln>
        <a:effectLst/>
      </c:spPr>
    </c:title>
    <c:autoTitleDeleted val="0"/>
    <c:plotArea>
      <c:layout/>
      <c:barChart>
        <c:barDir val="col"/>
        <c:grouping val="clustered"/>
        <c:varyColors val="0"/>
        <c:ser>
          <c:idx val="0"/>
          <c:order val="0"/>
          <c:tx>
            <c:strRef>
              <c:f>[工作簿1]Sheet1!$A$13</c:f>
              <c:strCache>
                <c:ptCount val="1"/>
                <c:pt idx="0">
                  <c:v>2018</c:v>
                </c:pt>
              </c:strCache>
            </c:strRef>
          </c:tx>
          <c:spPr>
            <a:solidFill>
              <a:schemeClr val="accent1"/>
            </a:solidFill>
            <a:ln>
              <a:noFill/>
            </a:ln>
            <a:effectLst/>
          </c:spPr>
          <c:invertIfNegative val="0"/>
          <c:dLbls>
            <c:delete val="1"/>
          </c:dLbls>
          <c:cat>
            <c:strRef>
              <c:f>[工作簿1]Sheet1!$B$12:$I$12</c:f>
              <c:strCache>
                <c:ptCount val="8"/>
                <c:pt idx="0">
                  <c:v>理论学习满意度</c:v>
                </c:pt>
                <c:pt idx="1">
                  <c:v>专业学习满意度</c:v>
                </c:pt>
                <c:pt idx="2">
                  <c:v>校内实习满意度</c:v>
                </c:pt>
                <c:pt idx="3">
                  <c:v>校外实习满意度</c:v>
                </c:pt>
                <c:pt idx="4">
                  <c:v>校外实习满意度</c:v>
                </c:pt>
                <c:pt idx="5">
                  <c:v>生活满意度</c:v>
                </c:pt>
                <c:pt idx="6">
                  <c:v>安全满意度</c:v>
                </c:pt>
                <c:pt idx="7">
                  <c:v>毕业生满意度</c:v>
                </c:pt>
              </c:strCache>
            </c:strRef>
          </c:cat>
          <c:val>
            <c:numRef>
              <c:f>[工作簿1]Sheet1!$B$13:$I$13</c:f>
              <c:numCache>
                <c:formatCode>0.00%</c:formatCode>
                <c:ptCount val="8"/>
                <c:pt idx="0">
                  <c:v>0.986</c:v>
                </c:pt>
                <c:pt idx="1" c:formatCode="0%">
                  <c:v>0.96</c:v>
                </c:pt>
                <c:pt idx="2">
                  <c:v>0.965</c:v>
                </c:pt>
                <c:pt idx="3">
                  <c:v>0.962</c:v>
                </c:pt>
                <c:pt idx="4">
                  <c:v>0.959</c:v>
                </c:pt>
                <c:pt idx="5" c:formatCode="0%">
                  <c:v>0.98</c:v>
                </c:pt>
                <c:pt idx="6">
                  <c:v>0.988</c:v>
                </c:pt>
                <c:pt idx="7">
                  <c:v>0.945</c:v>
                </c:pt>
              </c:numCache>
            </c:numRef>
          </c:val>
        </c:ser>
        <c:ser>
          <c:idx val="1"/>
          <c:order val="1"/>
          <c:tx>
            <c:strRef>
              <c:f>[工作簿1]Sheet1!$A$14</c:f>
              <c:strCache>
                <c:ptCount val="1"/>
                <c:pt idx="0">
                  <c:v>2019</c:v>
                </c:pt>
              </c:strCache>
            </c:strRef>
          </c:tx>
          <c:spPr>
            <a:solidFill>
              <a:schemeClr val="accent2"/>
            </a:solidFill>
            <a:ln>
              <a:noFill/>
            </a:ln>
            <a:effectLst/>
          </c:spPr>
          <c:invertIfNegative val="0"/>
          <c:dLbls>
            <c:delete val="1"/>
          </c:dLbls>
          <c:cat>
            <c:strRef>
              <c:f>[工作簿1]Sheet1!$B$12:$I$12</c:f>
              <c:strCache>
                <c:ptCount val="8"/>
                <c:pt idx="0">
                  <c:v>理论学习满意度</c:v>
                </c:pt>
                <c:pt idx="1">
                  <c:v>专业学习满意度</c:v>
                </c:pt>
                <c:pt idx="2">
                  <c:v>校内实习满意度</c:v>
                </c:pt>
                <c:pt idx="3">
                  <c:v>校外实习满意度</c:v>
                </c:pt>
                <c:pt idx="4">
                  <c:v>校外实习满意度</c:v>
                </c:pt>
                <c:pt idx="5">
                  <c:v>生活满意度</c:v>
                </c:pt>
                <c:pt idx="6">
                  <c:v>安全满意度</c:v>
                </c:pt>
                <c:pt idx="7">
                  <c:v>毕业生满意度</c:v>
                </c:pt>
              </c:strCache>
            </c:strRef>
          </c:cat>
          <c:val>
            <c:numRef>
              <c:f>[工作簿1]Sheet1!$B$14:$I$14</c:f>
              <c:numCache>
                <c:formatCode>0%</c:formatCode>
                <c:ptCount val="8"/>
                <c:pt idx="0">
                  <c:v>0.99</c:v>
                </c:pt>
                <c:pt idx="1">
                  <c:v>0.96</c:v>
                </c:pt>
                <c:pt idx="2">
                  <c:v>0.96</c:v>
                </c:pt>
                <c:pt idx="3" c:formatCode="0.00%">
                  <c:v>0.962</c:v>
                </c:pt>
                <c:pt idx="4">
                  <c:v>0.96</c:v>
                </c:pt>
                <c:pt idx="5" c:formatCode="0.00%">
                  <c:v>0.981</c:v>
                </c:pt>
                <c:pt idx="6" c:formatCode="0.00%">
                  <c:v>0.987</c:v>
                </c:pt>
                <c:pt idx="7" c:formatCode="0.00%">
                  <c:v>0.943</c:v>
                </c:pt>
              </c:numCache>
            </c:numRef>
          </c:val>
        </c:ser>
        <c:dLbls>
          <c:showLegendKey val="0"/>
          <c:showVal val="0"/>
          <c:showCatName val="0"/>
          <c:showSerName val="0"/>
          <c:showPercent val="0"/>
          <c:showBubbleSize val="0"/>
        </c:dLbls>
        <c:gapWidth val="219"/>
        <c:overlap val="-27"/>
        <c:axId val="268217344"/>
        <c:axId val="341586688"/>
      </c:barChart>
      <c:catAx>
        <c:axId val="268217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1586688"/>
        <c:crosses val="autoZero"/>
        <c:auto val="1"/>
        <c:lblAlgn val="ctr"/>
        <c:lblOffset val="100"/>
        <c:noMultiLvlLbl val="0"/>
      </c:catAx>
      <c:valAx>
        <c:axId val="341586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82173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2829</Words>
  <Characters>16130</Characters>
  <Lines>134</Lines>
  <Paragraphs>37</Paragraphs>
  <TotalTime>1</TotalTime>
  <ScaleCrop>false</ScaleCrop>
  <LinksUpToDate>false</LinksUpToDate>
  <CharactersWithSpaces>18922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2019-01-16T01:22:00Z</dcterms:created>
  <dc:creator>Administrator</dc:creator>
  <cp:lastModifiedBy>飞哥哥</cp:lastModifiedBy>
  <cp:lastPrinted>2020-03-10T07:48:00Z</cp:lastPrinted>
  <dcterms:modified xsi:type="dcterms:W3CDTF">2021-10-12T12:54:37Z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94305DD74701439CB146E859A22A6E7D</vt:lpwstr>
  </property>
</Properties>
</file>